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0" w:lineRule="exact"/>
        <w:rPr>
          <w:sz w:val="24"/>
          <w:szCs w:val="24"/>
          <w:color w:val="auto"/>
        </w:rPr>
      </w:pPr>
    </w:p>
    <w:p>
      <w:pPr>
        <w:ind w:left="460" w:right="280" w:hanging="439"/>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-347345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29, 2024</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460" w:right="260" w:hanging="439"/>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571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0-25150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STRATTEC SECURITY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8"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3500" w:type="dxa"/>
            <w:vAlign w:val="bottom"/>
          </w:tcPr>
          <w:p>
            <w:pPr>
              <w:jc w:val="center"/>
              <w:ind w:left="1734"/>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80" w:type="dxa"/>
            <w:vAlign w:val="bottom"/>
          </w:tcPr>
          <w:p>
            <w:pPr>
              <w:jc w:val="right"/>
              <w:ind w:right="2215"/>
              <w:spacing w:after="0"/>
              <w:rPr>
                <w:sz w:val="20"/>
                <w:szCs w:val="20"/>
                <w:color w:val="auto"/>
              </w:rPr>
            </w:pPr>
            <w:r>
              <w:rPr>
                <w:rFonts w:ascii="Times New Roman" w:cs="Times New Roman" w:eastAsia="Times New Roman" w:hAnsi="Times New Roman"/>
                <w:sz w:val="18"/>
                <w:szCs w:val="18"/>
                <w:b w:val="1"/>
                <w:bCs w:val="1"/>
                <w:color w:val="auto"/>
              </w:rPr>
              <w:t>39-1804239</w:t>
            </w:r>
          </w:p>
        </w:tc>
      </w:tr>
      <w:tr>
        <w:trPr>
          <w:trHeight w:val="193"/>
        </w:trPr>
        <w:tc>
          <w:tcPr>
            <w:tcW w:w="3500" w:type="dxa"/>
            <w:vAlign w:val="bottom"/>
          </w:tcPr>
          <w:p>
            <w:pPr>
              <w:jc w:val="center"/>
              <w:ind w:left="1754"/>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80" w:type="dxa"/>
            <w:vAlign w:val="bottom"/>
          </w:tcPr>
          <w:p>
            <w:pPr>
              <w:jc w:val="center"/>
              <w:ind w:right="1175"/>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96"/>
        </w:trPr>
        <w:tc>
          <w:tcPr>
            <w:tcW w:w="3500" w:type="dxa"/>
            <w:vAlign w:val="bottom"/>
          </w:tcPr>
          <w:p>
            <w:pPr>
              <w:spacing w:after="0"/>
              <w:rPr>
                <w:sz w:val="24"/>
                <w:szCs w:val="24"/>
                <w:color w:val="auto"/>
              </w:rPr>
            </w:pPr>
          </w:p>
        </w:tc>
        <w:tc>
          <w:tcPr>
            <w:tcW w:w="7620" w:type="dxa"/>
            <w:vAlign w:val="bottom"/>
            <w:gridSpan w:val="7"/>
          </w:tcPr>
          <w:p>
            <w:pPr>
              <w:jc w:val="center"/>
              <w:ind w:right="3475"/>
              <w:spacing w:after="0"/>
              <w:rPr>
                <w:sz w:val="20"/>
                <w:szCs w:val="20"/>
                <w:color w:val="auto"/>
              </w:rPr>
            </w:pPr>
            <w:r>
              <w:rPr>
                <w:rFonts w:ascii="Times New Roman" w:cs="Times New Roman" w:eastAsia="Times New Roman" w:hAnsi="Times New Roman"/>
                <w:sz w:val="18"/>
                <w:szCs w:val="18"/>
                <w:b w:val="1"/>
                <w:bCs w:val="1"/>
                <w:color w:val="auto"/>
                <w:w w:val="99"/>
              </w:rPr>
              <w:t>3333 West Good Hope Road, Milwaukee, WI 53209</w:t>
            </w: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5"/>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80" w:type="dxa"/>
            <w:vAlign w:val="bottom"/>
          </w:tcPr>
          <w:p>
            <w:pPr>
              <w:spacing w:after="0"/>
              <w:rPr>
                <w:sz w:val="16"/>
                <w:szCs w:val="16"/>
                <w:color w:val="auto"/>
              </w:rPr>
            </w:pPr>
          </w:p>
        </w:tc>
      </w:tr>
      <w:tr>
        <w:trPr>
          <w:trHeight w:val="282"/>
        </w:trPr>
        <w:tc>
          <w:tcPr>
            <w:tcW w:w="3500" w:type="dxa"/>
            <w:vAlign w:val="bottom"/>
          </w:tcPr>
          <w:p>
            <w:pPr>
              <w:spacing w:after="0"/>
              <w:rPr>
                <w:sz w:val="24"/>
                <w:szCs w:val="24"/>
                <w:color w:val="auto"/>
              </w:rPr>
            </w:pPr>
          </w:p>
        </w:tc>
        <w:tc>
          <w:tcPr>
            <w:tcW w:w="2600" w:type="dxa"/>
            <w:vAlign w:val="bottom"/>
            <w:gridSpan w:val="4"/>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(414) 247-3333</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20" w:type="dxa"/>
            <w:vAlign w:val="bottom"/>
            <w:gridSpan w:val="6"/>
          </w:tcPr>
          <w:p>
            <w:pPr>
              <w:jc w:val="center"/>
              <w:ind w:right="379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78"/>
        </w:trPr>
        <w:tc>
          <w:tcPr>
            <w:tcW w:w="380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180" w:type="dxa"/>
            <w:vAlign w:val="bottom"/>
          </w:tcPr>
          <w:p>
            <w:pPr>
              <w:spacing w:after="0"/>
              <w:rPr>
                <w:sz w:val="6"/>
                <w:szCs w:val="6"/>
                <w:color w:val="auto"/>
              </w:rPr>
            </w:pPr>
          </w:p>
        </w:tc>
      </w:tr>
      <w:tr>
        <w:trPr>
          <w:trHeight w:val="309"/>
        </w:trPr>
        <w:tc>
          <w:tcPr>
            <w:tcW w:w="694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80" w:type="dxa"/>
            <w:vAlign w:val="bottom"/>
          </w:tcPr>
          <w:p>
            <w:pPr>
              <w:spacing w:after="0"/>
              <w:rPr>
                <w:sz w:val="24"/>
                <w:szCs w:val="24"/>
                <w:color w:val="auto"/>
              </w:rPr>
            </w:pPr>
          </w:p>
        </w:tc>
      </w:tr>
      <w:tr>
        <w:trPr>
          <w:trHeight w:val="245"/>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0" w:type="dxa"/>
            <w:vAlign w:val="bottom"/>
          </w:tcPr>
          <w:p>
            <w:pPr>
              <w:spacing w:after="0"/>
              <w:rPr>
                <w:sz w:val="21"/>
                <w:szCs w:val="21"/>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00" w:type="dxa"/>
            <w:vAlign w:val="bottom"/>
          </w:tcPr>
          <w:p>
            <w:pPr>
              <w:spacing w:after="0"/>
              <w:rPr>
                <w:sz w:val="21"/>
                <w:szCs w:val="21"/>
                <w:color w:val="auto"/>
              </w:rPr>
            </w:pPr>
          </w:p>
        </w:tc>
        <w:tc>
          <w:tcPr>
            <w:tcW w:w="840" w:type="dxa"/>
            <w:vAlign w:val="bottom"/>
            <w:tcBorders>
              <w:bottom w:val="single" w:sz="8" w:color="auto"/>
            </w:tcBorders>
            <w:gridSpan w:val="2"/>
          </w:tcPr>
          <w:p>
            <w:pPr>
              <w:spacing w:after="0"/>
              <w:rPr>
                <w:sz w:val="21"/>
                <w:szCs w:val="21"/>
                <w:color w:val="auto"/>
              </w:rPr>
            </w:pPr>
          </w:p>
        </w:tc>
        <w:tc>
          <w:tcPr>
            <w:tcW w:w="4180" w:type="dxa"/>
            <w:vAlign w:val="bottom"/>
            <w:tcBorders>
              <w:bottom w:val="single" w:sz="8" w:color="auto"/>
            </w:tcBorders>
          </w:tcPr>
          <w:p>
            <w:pPr>
              <w:jc w:val="center"/>
              <w:ind w:right="755"/>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43"/>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$.01 par value</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40" w:type="dxa"/>
            <w:vAlign w:val="bottom"/>
            <w:gridSpan w:val="4"/>
          </w:tcPr>
          <w:p>
            <w:pPr>
              <w:jc w:val="center"/>
              <w:ind w:right="1740"/>
              <w:spacing w:after="0"/>
              <w:rPr>
                <w:sz w:val="20"/>
                <w:szCs w:val="20"/>
                <w:color w:val="auto"/>
              </w:rPr>
            </w:pPr>
            <w:r>
              <w:rPr>
                <w:rFonts w:ascii="Times New Roman" w:cs="Times New Roman" w:eastAsia="Times New Roman" w:hAnsi="Times New Roman"/>
                <w:sz w:val="18"/>
                <w:szCs w:val="18"/>
                <w:color w:val="auto"/>
                <w:w w:val="99"/>
              </w:rPr>
              <w:t>STRT</w:t>
            </w:r>
          </w:p>
        </w:tc>
        <w:tc>
          <w:tcPr>
            <w:tcW w:w="4180" w:type="dxa"/>
            <w:vAlign w:val="bottom"/>
          </w:tcPr>
          <w:p>
            <w:pPr>
              <w:jc w:val="center"/>
              <w:ind w:right="755"/>
              <w:spacing w:after="0"/>
              <w:rPr>
                <w:sz w:val="20"/>
                <w:szCs w:val="20"/>
                <w:color w:val="auto"/>
              </w:rPr>
            </w:pPr>
            <w:r>
              <w:rPr>
                <w:rFonts w:ascii="Times New Roman" w:cs="Times New Roman" w:eastAsia="Times New Roman" w:hAnsi="Times New Roman"/>
                <w:sz w:val="18"/>
                <w:szCs w:val="18"/>
                <w:color w:val="auto"/>
                <w:w w:val="99"/>
              </w:rPr>
              <w:t>The Nasdaq Global Stock Market</w:t>
            </w:r>
          </w:p>
        </w:tc>
      </w:tr>
    </w:tbl>
    <w:p>
      <w:pPr>
        <w:spacing w:after="0" w:line="103" w:lineRule="exact"/>
        <w:rPr>
          <w:sz w:val="24"/>
          <w:szCs w:val="24"/>
          <w:color w:val="auto"/>
        </w:rPr>
      </w:pPr>
    </w:p>
    <w:p>
      <w:pPr>
        <w:ind w:right="40" w:firstLine="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40" w:firstLine="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916" w:right="35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tabs>
          <w:tab w:leader="none" w:pos="5400" w:val="left"/>
          <w:tab w:leader="none" w:pos="8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70" w:lineRule="exact"/>
        <w:rPr>
          <w:sz w:val="24"/>
          <w:szCs w:val="24"/>
          <w:color w:val="auto"/>
        </w:rPr>
      </w:pPr>
    </w:p>
    <w:p>
      <w:pPr>
        <w:spacing w:after="0" w:line="207" w:lineRule="exact"/>
        <w:tabs>
          <w:tab w:leader="none" w:pos="5400" w:val="left"/>
          <w:tab w:leader="none" w:pos="8440" w:val="left"/>
        </w:tabs>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9" w:lineRule="exact"/>
        <w:rPr>
          <w:sz w:val="24"/>
          <w:szCs w:val="24"/>
          <w:color w:val="auto"/>
        </w:rPr>
      </w:pPr>
    </w:p>
    <w:p>
      <w:pPr>
        <w:spacing w:after="0" w:line="200"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p>
    <w:p>
      <w:pPr>
        <w:spacing w:after="0" w:line="70" w:lineRule="exact"/>
        <w:rPr>
          <w:sz w:val="24"/>
          <w:szCs w:val="24"/>
          <w:color w:val="auto"/>
        </w:rPr>
      </w:pPr>
    </w:p>
    <w:p>
      <w:pPr>
        <w:sectPr>
          <w:pgSz w:w="11900" w:h="16838" w:orient="portrait"/>
          <w:cols w:equalWidth="0" w:num="2">
            <w:col w:w="1980" w:space="540"/>
            <w:col w:w="8700"/>
          </w:cols>
          <w:pgMar w:left="320" w:top="916" w:right="359" w:bottom="1440" w:gutter="0" w:footer="0" w:header="0"/>
          <w:type w:val="continuous"/>
        </w:sectPr>
      </w:pPr>
    </w:p>
    <w:p>
      <w:pPr>
        <w:ind w:right="180" w:firstLine="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00" w:right="15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50" w:lineRule="exact"/>
        <w:rPr>
          <w:sz w:val="24"/>
          <w:szCs w:val="24"/>
          <w:color w:val="auto"/>
        </w:rPr>
      </w:pPr>
    </w:p>
    <w:p>
      <w:pPr>
        <w:ind w:right="620" w:firstLine="300"/>
        <w:spacing w:after="0" w:line="282" w:lineRule="auto"/>
        <w:rPr>
          <w:sz w:val="20"/>
          <w:szCs w:val="20"/>
          <w:color w:val="auto"/>
        </w:rPr>
      </w:pPr>
      <w:r>
        <w:rPr>
          <w:rFonts w:ascii="Times New Roman" w:cs="Times New Roman" w:eastAsia="Times New Roman" w:hAnsi="Times New Roman"/>
          <w:sz w:val="18"/>
          <w:szCs w:val="18"/>
          <w:color w:val="auto"/>
        </w:rPr>
        <w:t>Common stock, par value $0.01 per share: 4,101,092 shares outstanding as of September 30, 2024 (which number includes all restricted shares previously awarded that have not vested as of such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STRATTEC SECURITY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29, 2024</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102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0220" w:type="dxa"/>
            <w:vAlign w:val="bottom"/>
            <w:gridSpan w:val="16"/>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64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Income and Comprehensive Income (Unaudited)</w:t>
            </w:r>
          </w:p>
        </w:tc>
        <w:tc>
          <w:tcPr>
            <w:tcW w:w="2900" w:type="dxa"/>
            <w:vAlign w:val="bottom"/>
            <w:gridSpan w:val="3"/>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Condensed Consolidated Balance Sheets (Unaudited)</w:t>
            </w:r>
          </w:p>
        </w:tc>
        <w:tc>
          <w:tcPr>
            <w:tcW w:w="5440" w:type="dxa"/>
            <w:vAlign w:val="bottom"/>
            <w:gridSpan w:val="7"/>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6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Cash Flows (Unaudited)</w:t>
            </w:r>
          </w:p>
        </w:tc>
        <w:tc>
          <w:tcPr>
            <w:tcW w:w="4660" w:type="dxa"/>
            <w:vAlign w:val="bottom"/>
            <w:gridSpan w:val="5"/>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9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9"/>
              </w:rPr>
              <w:t>Notes to Condensed Consolidated Financial Statements (Unaudited)</w:t>
            </w:r>
          </w:p>
        </w:tc>
        <w:tc>
          <w:tcPr>
            <w:tcW w:w="4380" w:type="dxa"/>
            <w:vAlign w:val="bottom"/>
            <w:gridSpan w:val="4"/>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840" w:type="dxa"/>
            <w:vAlign w:val="bottom"/>
            <w:gridSpan w:val="2"/>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Controls and Procedures</w:t>
            </w:r>
          </w:p>
        </w:tc>
        <w:tc>
          <w:tcPr>
            <w:tcW w:w="2580" w:type="dxa"/>
            <w:vAlign w:val="bottom"/>
            <w:tcBorders>
              <w:top w:val="single" w:sz="8" w:color="auto"/>
            </w:tcBorders>
            <w:gridSpan w:val="3"/>
          </w:tcPr>
          <w:p>
            <w:pPr>
              <w:spacing w:after="0"/>
              <w:rPr>
                <w:sz w:val="18"/>
                <w:szCs w:val="18"/>
                <w:color w:val="auto"/>
              </w:rPr>
            </w:pPr>
          </w:p>
        </w:tc>
        <w:tc>
          <w:tcPr>
            <w:tcW w:w="4940" w:type="dxa"/>
            <w:vAlign w:val="bottom"/>
            <w:gridSpan w:val="6"/>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53"/>
        </w:trPr>
        <w:tc>
          <w:tcPr>
            <w:tcW w:w="102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8"/>
              </w:rPr>
              <w:t>Legal Proceedings</w:t>
            </w:r>
          </w:p>
        </w:tc>
        <w:tc>
          <w:tcPr>
            <w:tcW w:w="7960" w:type="dxa"/>
            <w:vAlign w:val="bottom"/>
            <w:gridSpan w:val="11"/>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Risk Factors</w:t>
            </w:r>
          </w:p>
        </w:tc>
        <w:tc>
          <w:tcPr>
            <w:tcW w:w="8380" w:type="dxa"/>
            <w:vAlign w:val="bottom"/>
            <w:gridSpan w:val="13"/>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16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Unregistered Sales of Equity Securities, Use of Proceeds, and Issuer Purchases of Equity Securities</w:t>
            </w:r>
          </w:p>
        </w:tc>
        <w:tc>
          <w:tcPr>
            <w:tcW w:w="2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Mine Safety Disclosures</w:t>
            </w:r>
          </w:p>
        </w:tc>
        <w:tc>
          <w:tcPr>
            <w:tcW w:w="540" w:type="dxa"/>
            <w:vAlign w:val="bottom"/>
            <w:tcBorders>
              <w:top w:val="single" w:sz="8" w:color="auto"/>
            </w:tcBorders>
          </w:tcPr>
          <w:p>
            <w:pPr>
              <w:spacing w:after="0"/>
              <w:rPr>
                <w:sz w:val="18"/>
                <w:szCs w:val="18"/>
                <w:color w:val="auto"/>
              </w:rPr>
            </w:pPr>
          </w:p>
        </w:tc>
        <w:tc>
          <w:tcPr>
            <w:tcW w:w="6980" w:type="dxa"/>
            <w:vAlign w:val="bottom"/>
            <w:gridSpan w:val="8"/>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7980" w:type="dxa"/>
            <w:vAlign w:val="bottom"/>
            <w:gridSpan w:val="12"/>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Exhibits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PROSPECTIVE INFORMATION</w:t>
      </w:r>
    </w:p>
    <w:p>
      <w:pPr>
        <w:spacing w:after="0" w:line="115" w:lineRule="exact"/>
        <w:rPr>
          <w:sz w:val="20"/>
          <w:szCs w:val="20"/>
          <w:color w:val="auto"/>
        </w:rPr>
      </w:pPr>
    </w:p>
    <w:p>
      <w:pPr>
        <w:ind w:right="20" w:firstLine="562"/>
        <w:spacing w:after="0" w:line="271" w:lineRule="auto"/>
        <w:rPr>
          <w:sz w:val="20"/>
          <w:szCs w:val="20"/>
          <w:color w:val="auto"/>
        </w:rPr>
      </w:pPr>
      <w:r>
        <w:rPr>
          <w:rFonts w:ascii="Times New Roman" w:cs="Times New Roman" w:eastAsia="Times New Roman" w:hAnsi="Times New Roman"/>
          <w:sz w:val="16"/>
          <w:szCs w:val="16"/>
          <w:color w:val="auto"/>
        </w:rPr>
        <w:t>A number of the matters and subject areas discussed in this Form 10-Q contain “forward-looking statements” within the meaning of the Private Securities Litigation Reform Act of 1995. These statements may be identified by the use of forward-looking words or phrases such as “anticipate,” “believe,” “could,” “expect,” “intend,” “may,” “planned,” “potential,” “should,” “will,” and “would,” or the negative of these terms or words of similar meaning. These statements include expected future financial results, product offerings, global expansion, liquidity needs, financing ability, planned capital expenditures, management’s or the Company’s expectations and beliefs, and similar matters discussed in this Form 10-Q. The discussion of such matters and subject areas contained herein is qualified by the inherent risks and uncertainties surrounding future expectations generally, and also may materially differ from the Company’s actual future experience.</w:t>
      </w:r>
    </w:p>
    <w:p>
      <w:pPr>
        <w:spacing w:after="0" w:line="49" w:lineRule="exact"/>
        <w:rPr>
          <w:sz w:val="20"/>
          <w:szCs w:val="20"/>
          <w:color w:val="auto"/>
        </w:rPr>
      </w:pPr>
    </w:p>
    <w:p>
      <w:pPr>
        <w:ind w:right="320" w:firstLine="562"/>
        <w:spacing w:after="0" w:line="298" w:lineRule="auto"/>
        <w:rPr>
          <w:sz w:val="20"/>
          <w:szCs w:val="20"/>
          <w:color w:val="auto"/>
        </w:rPr>
      </w:pPr>
      <w:r>
        <w:rPr>
          <w:rFonts w:ascii="Times New Roman" w:cs="Times New Roman" w:eastAsia="Times New Roman" w:hAnsi="Times New Roman"/>
          <w:sz w:val="16"/>
          <w:szCs w:val="16"/>
          <w:color w:val="auto"/>
        </w:rPr>
        <w:t>The Company’s business, operations and financial performance are subject to certain risks and uncertainties, which could result in material differences in actual results from the Company’s current expectations, including:</w:t>
      </w:r>
    </w:p>
    <w:p>
      <w:pPr>
        <w:spacing w:after="0" w:line="43" w:lineRule="exact"/>
        <w:rPr>
          <w:sz w:val="20"/>
          <w:szCs w:val="20"/>
          <w:color w:val="auto"/>
        </w:rPr>
      </w:pPr>
    </w:p>
    <w:p>
      <w:pPr>
        <w:ind w:left="580" w:right="340" w:hanging="378"/>
        <w:spacing w:after="0" w:line="269"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uncertain economic environment and inflationary conditions coupled with the cyclical nature of the automotive industry may adversely affect global vehicle production and demand for our products;</w:t>
      </w:r>
    </w:p>
    <w:p>
      <w:pPr>
        <w:ind w:left="580" w:hanging="378"/>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highly competitive market and technological developments within our sphere of offerings are rapidly evolving;</w:t>
      </w:r>
    </w:p>
    <w:p>
      <w:pPr>
        <w:spacing w:after="0" w:line="18" w:lineRule="exact"/>
        <w:rPr>
          <w:rFonts w:ascii="Times New Roman" w:cs="Times New Roman" w:eastAsia="Times New Roman" w:hAnsi="Times New Roman"/>
          <w:sz w:val="16"/>
          <w:szCs w:val="16"/>
          <w:color w:val="auto"/>
        </w:rPr>
      </w:pPr>
    </w:p>
    <w:p>
      <w:pPr>
        <w:ind w:left="580" w:right="38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customer purchasing actions, warranty provisions and product recall policies could adversely affect our business, results of operations and financial condition;</w:t>
      </w:r>
    </w:p>
    <w:p>
      <w:pPr>
        <w:ind w:left="580" w:right="10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 stoppages within our operations or at the location of our key customers as a result of labor disputes could adversely impact our business, results of operations and financial condition;</w:t>
      </w:r>
    </w:p>
    <w:p>
      <w:pPr>
        <w:ind w:left="580" w:right="4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and restrictions impacting the import of goods and components stemming from heightened security procedures implemented by the U.S. Government related to U.S.-Mexico border crossings could have a negative effect on our business;</w:t>
      </w:r>
    </w:p>
    <w:p>
      <w:pPr>
        <w:ind w:left="580" w:right="44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the volume and scope of product returns or customer cost reimbursement actions could adversely impact our business, results of operations and financial condition;</w:t>
      </w:r>
    </w:p>
    <w:p>
      <w:pPr>
        <w:ind w:left="580" w:right="34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changes in the costs of operations, warranty claims, adverse business and operational issues could be affected by a material global supply chain and logistics disruption;</w:t>
      </w:r>
    </w:p>
    <w:p>
      <w:pPr>
        <w:ind w:left="580" w:right="10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shortages in the supply of semiconductor chips and other matters adversely impacting the timing, availability and costs of material component parts and raw materials for the production of our products could adversely affect our business, results of operations and financial condition;</w:t>
      </w:r>
    </w:p>
    <w:p>
      <w:pPr>
        <w:ind w:left="580" w:right="8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and geopolitical conditions, including the ongoing military conflict between Russia and the Ukraine, could adversely affect our business, results of operations and financial condition;</w:t>
      </w:r>
    </w:p>
    <w:p>
      <w:pPr>
        <w:ind w:left="580" w:right="220" w:hanging="378"/>
        <w:spacing w:after="0" w:line="288"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to our information security management systems and cybersecurity incidents could adversely affect our business, results of operations and financial condition;</w:t>
      </w:r>
    </w:p>
    <w:p>
      <w:pPr>
        <w:spacing w:after="0" w:line="50" w:lineRule="exact"/>
        <w:rPr>
          <w:sz w:val="20"/>
          <w:szCs w:val="20"/>
          <w:color w:val="auto"/>
        </w:rPr>
      </w:pPr>
    </w:p>
    <w:p>
      <w:pPr>
        <w:ind w:right="800"/>
        <w:spacing w:after="0" w:line="298" w:lineRule="auto"/>
        <w:rPr>
          <w:sz w:val="20"/>
          <w:szCs w:val="20"/>
          <w:color w:val="auto"/>
        </w:rPr>
      </w:pPr>
      <w:r>
        <w:rPr>
          <w:rFonts w:ascii="Times New Roman" w:cs="Times New Roman" w:eastAsia="Times New Roman" w:hAnsi="Times New Roman"/>
          <w:sz w:val="16"/>
          <w:szCs w:val="16"/>
          <w:color w:val="auto"/>
        </w:rPr>
        <w:t>and other matters described in the section titled “Risk Factors” in the Company’s Form 10-K report filed on September 5, 2024 with the Securities and Exchange Commission (“SEC”) for the year ended June 30, 2024 (the “Annual Report”).</w:t>
      </w:r>
    </w:p>
    <w:p>
      <w:pPr>
        <w:spacing w:after="0" w:line="29" w:lineRule="exact"/>
        <w:rPr>
          <w:sz w:val="20"/>
          <w:szCs w:val="20"/>
          <w:color w:val="auto"/>
        </w:rPr>
      </w:pPr>
    </w:p>
    <w:p>
      <w:pPr>
        <w:jc w:val="both"/>
        <w:ind w:right="120" w:firstLine="562"/>
        <w:spacing w:after="0" w:line="281" w:lineRule="auto"/>
        <w:rPr>
          <w:sz w:val="20"/>
          <w:szCs w:val="20"/>
          <w:color w:val="auto"/>
        </w:rPr>
      </w:pPr>
      <w:r>
        <w:rPr>
          <w:rFonts w:ascii="Times New Roman" w:cs="Times New Roman" w:eastAsia="Times New Roman" w:hAnsi="Times New Roman"/>
          <w:sz w:val="16"/>
          <w:szCs w:val="16"/>
          <w:color w:val="auto"/>
        </w:rPr>
        <w:t>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Form 10-Q and the Company undertakes no obligation to publicly update such forward-looking statements to reflect subsequent events or circumstances occurring after the date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80" w:type="dxa"/>
            <w:vAlign w:val="bottom"/>
            <w:gridSpan w:val="2"/>
          </w:tcPr>
          <w:p>
            <w:pPr>
              <w:jc w:val="right"/>
              <w:ind w:right="89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560" w:type="dxa"/>
            <w:vAlign w:val="bottom"/>
          </w:tcPr>
          <w:p>
            <w:pPr>
              <w:spacing w:after="0"/>
              <w:rPr>
                <w:sz w:val="11"/>
                <w:szCs w:val="11"/>
                <w:color w:val="auto"/>
              </w:rPr>
            </w:pPr>
          </w:p>
        </w:tc>
        <w:tc>
          <w:tcPr>
            <w:tcW w:w="1460" w:type="dxa"/>
            <w:vAlign w:val="bottom"/>
          </w:tcPr>
          <w:p>
            <w:pPr>
              <w:jc w:val="right"/>
              <w:ind w:right="611"/>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139,052</w:t>
            </w:r>
          </w:p>
        </w:tc>
        <w:tc>
          <w:tcPr>
            <w:tcW w:w="4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120,131</w:t>
            </w:r>
          </w:p>
        </w:tc>
        <w:tc>
          <w:tcPr>
            <w:tcW w:w="4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selling and administrative expenses</w:t>
            </w: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13,858</w:t>
            </w:r>
          </w:p>
        </w:tc>
        <w:tc>
          <w:tcPr>
            <w:tcW w:w="4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Equity loss from joint ventures</w:t>
            </w:r>
          </w:p>
        </w:tc>
        <w:tc>
          <w:tcPr>
            <w:tcW w:w="340" w:type="dxa"/>
            <w:vAlign w:val="bottom"/>
          </w:tcPr>
          <w:p>
            <w:pPr>
              <w:spacing w:after="0"/>
              <w:rPr>
                <w:sz w:val="20"/>
                <w:szCs w:val="20"/>
                <w:color w:val="auto"/>
              </w:rPr>
            </w:pPr>
          </w:p>
        </w:tc>
        <w:tc>
          <w:tcPr>
            <w:tcW w:w="20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20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(295 )</w:t>
            </w:r>
          </w:p>
        </w:tc>
        <w:tc>
          <w:tcPr>
            <w:tcW w:w="56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68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Income before provision for</w:t>
            </w: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and non-controlling interest</w:t>
            </w:r>
          </w:p>
        </w:tc>
        <w:tc>
          <w:tcPr>
            <w:tcW w:w="3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4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w:t>
            </w:r>
          </w:p>
        </w:tc>
        <w:tc>
          <w:tcPr>
            <w:tcW w:w="340" w:type="dxa"/>
            <w:vAlign w:val="bottom"/>
          </w:tcPr>
          <w:p>
            <w:pPr>
              <w:spacing w:after="0"/>
              <w:rPr>
                <w:sz w:val="19"/>
                <w:szCs w:val="19"/>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controlling interest</w:t>
            </w: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8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income attributable to STRATTEC</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400" w:type="dxa"/>
            <w:vAlign w:val="bottom"/>
          </w:tcPr>
          <w:p>
            <w:pPr>
              <w:spacing w:after="0"/>
              <w:rPr>
                <w:sz w:val="17"/>
                <w:szCs w:val="17"/>
                <w:color w:val="auto"/>
              </w:rPr>
            </w:pPr>
          </w:p>
        </w:tc>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SECURITY CORPORATION</w:t>
            </w:r>
          </w:p>
        </w:tc>
        <w:tc>
          <w:tcPr>
            <w:tcW w:w="34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4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plans, net of tax</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40" w:type="dxa"/>
            <w:vAlign w:val="bottom"/>
          </w:tcPr>
          <w:p>
            <w:pPr>
              <w:spacing w:after="0"/>
              <w:rPr>
                <w:sz w:val="22"/>
                <w:szCs w:val="22"/>
                <w:color w:val="auto"/>
              </w:rPr>
            </w:pPr>
          </w:p>
        </w:tc>
        <w:tc>
          <w:tcPr>
            <w:tcW w:w="20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(2,760 )</w:t>
            </w:r>
          </w:p>
        </w:tc>
        <w:tc>
          <w:tcPr>
            <w:tcW w:w="56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0" w:type="dxa"/>
            <w:vAlign w:val="bottom"/>
          </w:tcPr>
          <w:p>
            <w:pPr>
              <w:spacing w:after="0"/>
              <w:rPr>
                <w:sz w:val="1"/>
                <w:szCs w:val="1"/>
                <w:color w:val="auto"/>
              </w:rPr>
            </w:pPr>
          </w:p>
        </w:tc>
      </w:tr>
      <w:tr>
        <w:trPr>
          <w:trHeight w:val="23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4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 attributable to</w:t>
            </w:r>
          </w:p>
        </w:tc>
        <w:tc>
          <w:tcPr>
            <w:tcW w:w="340" w:type="dxa"/>
            <w:vAlign w:val="bottom"/>
          </w:tcPr>
          <w:p>
            <w:pPr>
              <w:spacing w:after="0"/>
              <w:rPr>
                <w:sz w:val="19"/>
                <w:szCs w:val="19"/>
                <w:color w:val="auto"/>
              </w:rPr>
            </w:pPr>
          </w:p>
        </w:tc>
        <w:tc>
          <w:tcPr>
            <w:tcW w:w="208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(1,044 )</w:t>
            </w:r>
          </w:p>
        </w:tc>
        <w:tc>
          <w:tcPr>
            <w:tcW w:w="560" w:type="dxa"/>
            <w:vAlign w:val="bottom"/>
          </w:tcPr>
          <w:p>
            <w:pPr>
              <w:spacing w:after="0"/>
              <w:rPr>
                <w:sz w:val="19"/>
                <w:szCs w:val="19"/>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tcPr>
          <w:p>
            <w:pPr>
              <w:spacing w:after="0"/>
              <w:rPr>
                <w:sz w:val="20"/>
                <w:szCs w:val="20"/>
                <w:color w:val="auto"/>
              </w:rPr>
            </w:pPr>
          </w:p>
        </w:tc>
        <w:tc>
          <w:tcPr>
            <w:tcW w:w="208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8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Comprehensive income attributable to</w:t>
            </w:r>
          </w:p>
        </w:tc>
        <w:tc>
          <w:tcPr>
            <w:tcW w:w="34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400" w:type="dxa"/>
            <w:vAlign w:val="bottom"/>
          </w:tcPr>
          <w:p>
            <w:pPr>
              <w:spacing w:after="0"/>
              <w:rPr>
                <w:sz w:val="17"/>
                <w:szCs w:val="17"/>
                <w:color w:val="auto"/>
              </w:rPr>
            </w:pPr>
          </w:p>
        </w:tc>
        <w:tc>
          <w:tcPr>
            <w:tcW w:w="560" w:type="dxa"/>
            <w:vAlign w:val="bottom"/>
            <w:tcBorders>
              <w:top w:val="single" w:sz="8" w:color="auto"/>
            </w:tcBorders>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STRATTEC SECURITY CORPORATION</w:t>
            </w:r>
          </w:p>
        </w:tc>
        <w:tc>
          <w:tcPr>
            <w:tcW w:w="34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attributable to</w:t>
            </w: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STRATTEC SECURITY CORPORATION:</w:t>
            </w: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4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4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 of Income and Comprehensive Income.</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300" w:type="dxa"/>
            <w:vAlign w:val="bottom"/>
          </w:tcPr>
          <w:p>
            <w:pPr>
              <w:spacing w:after="0"/>
              <w:rPr>
                <w:sz w:val="13"/>
                <w:szCs w:val="13"/>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3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102,266</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Finished products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materials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49,734</w:t>
            </w:r>
          </w:p>
        </w:tc>
        <w:tc>
          <w:tcPr>
            <w:tcW w:w="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Pre-production costs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Value-added tax recoverable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260,748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82,521</w:t>
            </w:r>
          </w:p>
        </w:tc>
        <w:tc>
          <w:tcPr>
            <w:tcW w:w="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366,867</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59,461</w:t>
            </w:r>
          </w:p>
        </w:tc>
        <w:tc>
          <w:tcPr>
            <w:tcW w:w="3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Payroll and benefits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25,421</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Value-added tax payable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Environmental</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Warranty</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119,571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credit facilities – long-term</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Accrued pension obligations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Accrued postretirement obligations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authorized 18,000,000 shares, $.01 par value, 7,624,120</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issued shares at September 29, 2024 and 7,586,920 issued shares at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June 30, 2024</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101,218</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254,315</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(17,104 )</w:t>
            </w:r>
          </w:p>
        </w:tc>
        <w:tc>
          <w:tcPr>
            <w:tcW w:w="3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(15,689 )</w:t>
            </w:r>
          </w:p>
        </w:tc>
        <w:tc>
          <w:tcPr>
            <w:tcW w:w="0" w:type="dxa"/>
            <w:vAlign w:val="bottom"/>
          </w:tcPr>
          <w:p>
            <w:pPr>
              <w:spacing w:after="0"/>
              <w:rPr>
                <w:sz w:val="1"/>
                <w:szCs w:val="1"/>
                <w:color w:val="auto"/>
              </w:rPr>
            </w:pPr>
          </w:p>
        </w:tc>
      </w:tr>
      <w:tr>
        <w:trPr>
          <w:trHeight w:val="225"/>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treasury stock, at cost (3,597,715 shares at September 29, 2024 and</w:t>
            </w:r>
          </w:p>
        </w:tc>
        <w:tc>
          <w:tcPr>
            <w:tcW w:w="240" w:type="dxa"/>
            <w:vAlign w:val="bottom"/>
          </w:tcPr>
          <w:p>
            <w:pPr>
              <w:spacing w:after="0"/>
              <w:rPr>
                <w:sz w:val="19"/>
                <w:szCs w:val="19"/>
                <w:color w:val="auto"/>
              </w:rPr>
            </w:pPr>
          </w:p>
        </w:tc>
        <w:tc>
          <w:tcPr>
            <w:tcW w:w="1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(135,471 )</w:t>
            </w:r>
          </w:p>
        </w:tc>
        <w:tc>
          <w:tcPr>
            <w:tcW w:w="300" w:type="dxa"/>
            <w:vAlign w:val="bottom"/>
          </w:tcPr>
          <w:p>
            <w:pPr>
              <w:spacing w:after="0"/>
              <w:rPr>
                <w:sz w:val="19"/>
                <w:szCs w:val="19"/>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(135,478 )</w:t>
            </w:r>
          </w:p>
        </w:tc>
        <w:tc>
          <w:tcPr>
            <w:tcW w:w="0" w:type="dxa"/>
            <w:vAlign w:val="bottom"/>
          </w:tcPr>
          <w:p>
            <w:pPr>
              <w:spacing w:after="0"/>
              <w:rPr>
                <w:sz w:val="1"/>
                <w:szCs w:val="1"/>
                <w:color w:val="auto"/>
              </w:rPr>
            </w:pPr>
          </w:p>
        </w:tc>
      </w:tr>
      <w:tr>
        <w:trPr>
          <w:trHeight w:val="234"/>
        </w:trPr>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3,589,126 shares at June 30, 2024)</w:t>
            </w:r>
          </w:p>
        </w:tc>
        <w:tc>
          <w:tcPr>
            <w:tcW w:w="240" w:type="dxa"/>
            <w:vAlign w:val="bottom"/>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STRATTEC SECURITY CORPORATION shareholders’ equity</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203,034</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227,060</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366,867</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Balance Sheets.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462915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85" w:right="37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00" w:type="dxa"/>
            <w:vAlign w:val="bottom"/>
            <w:gridSpan w:val="5"/>
          </w:tcPr>
          <w:p>
            <w:pPr>
              <w:jc w:val="right"/>
              <w:ind w:right="10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1"/>
        </w:trPr>
        <w:tc>
          <w:tcPr>
            <w:tcW w:w="76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2"/>
          </w:tcPr>
          <w:p>
            <w:pPr>
              <w:jc w:val="right"/>
              <w:ind w:right="57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411"/>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3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240" w:type="dxa"/>
            <w:vAlign w:val="bottom"/>
          </w:tcPr>
          <w:p>
            <w:pPr>
              <w:spacing w:after="0"/>
              <w:rPr>
                <w:sz w:val="21"/>
                <w:szCs w:val="21"/>
                <w:color w:val="auto"/>
              </w:rPr>
            </w:pP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(1,005 )</w:t>
            </w:r>
          </w:p>
        </w:tc>
        <w:tc>
          <w:tcPr>
            <w:tcW w:w="2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peso forward contracts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loss of joint ventures</w:t>
            </w:r>
          </w:p>
        </w:tc>
        <w:tc>
          <w:tcPr>
            <w:tcW w:w="240" w:type="dxa"/>
            <w:vAlign w:val="bottom"/>
          </w:tcPr>
          <w:p>
            <w:pPr>
              <w:spacing w:after="0"/>
              <w:rPr>
                <w:sz w:val="21"/>
                <w:szCs w:val="21"/>
                <w:color w:val="auto"/>
              </w:rPr>
            </w:pPr>
          </w:p>
        </w:tc>
        <w:tc>
          <w:tcPr>
            <w:tcW w:w="1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settlement of pension obligation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21"/>
                <w:szCs w:val="21"/>
                <w:color w:val="auto"/>
              </w:rPr>
            </w:pP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(3,189 )</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(2,145 )</w:t>
            </w:r>
          </w:p>
        </w:tc>
        <w:tc>
          <w:tcPr>
            <w:tcW w:w="2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0" w:type="dxa"/>
            <w:vAlign w:val="bottom"/>
          </w:tcPr>
          <w:p>
            <w:pPr>
              <w:spacing w:after="0"/>
              <w:rPr>
                <w:sz w:val="1"/>
                <w:szCs w:val="1"/>
                <w:color w:val="auto"/>
              </w:rPr>
            </w:pPr>
          </w:p>
        </w:tc>
      </w:tr>
      <w:tr>
        <w:trPr>
          <w:trHeight w:val="243"/>
        </w:trPr>
        <w:tc>
          <w:tcPr>
            <w:tcW w:w="7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(7,665 )</w:t>
            </w:r>
          </w:p>
        </w:tc>
        <w:tc>
          <w:tcPr>
            <w:tcW w:w="0" w:type="dxa"/>
            <w:vAlign w:val="bottom"/>
          </w:tcPr>
          <w:p>
            <w:pPr>
              <w:spacing w:after="0"/>
              <w:rPr>
                <w:sz w:val="1"/>
                <w:szCs w:val="1"/>
                <w:color w:val="auto"/>
              </w:rPr>
            </w:pPr>
          </w:p>
        </w:tc>
      </w:tr>
      <w:tr>
        <w:trPr>
          <w:trHeight w:val="243"/>
        </w:trPr>
        <w:tc>
          <w:tcPr>
            <w:tcW w:w="7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(4,054 )</w:t>
            </w:r>
          </w:p>
        </w:tc>
        <w:tc>
          <w:tcPr>
            <w:tcW w:w="0" w:type="dxa"/>
            <w:vAlign w:val="bottom"/>
          </w:tcPr>
          <w:p>
            <w:pPr>
              <w:spacing w:after="0"/>
              <w:rPr>
                <w:sz w:val="1"/>
                <w:szCs w:val="1"/>
                <w:color w:val="auto"/>
              </w:rPr>
            </w:pPr>
          </w:p>
        </w:tc>
      </w:tr>
      <w:tr>
        <w:trPr>
          <w:trHeight w:val="256"/>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8"/>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interest in joint ventures</w:t>
            </w:r>
          </w:p>
        </w:tc>
        <w:tc>
          <w:tcPr>
            <w:tcW w:w="240" w:type="dxa"/>
            <w:vAlign w:val="bottom"/>
          </w:tcPr>
          <w:p>
            <w:pPr>
              <w:spacing w:after="0"/>
              <w:rPr>
                <w:sz w:val="21"/>
                <w:szCs w:val="21"/>
                <w:color w:val="auto"/>
              </w:rPr>
            </w:pPr>
          </w:p>
        </w:tc>
        <w:tc>
          <w:tcPr>
            <w:tcW w:w="1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spacing w:after="0"/>
              <w:rPr>
                <w:sz w:val="22"/>
                <w:szCs w:val="22"/>
                <w:color w:val="auto"/>
              </w:rPr>
            </w:pP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(2,073 )</w:t>
            </w:r>
          </w:p>
        </w:tc>
        <w:tc>
          <w:tcPr>
            <w:tcW w:w="26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(2,920 )</w:t>
            </w:r>
          </w:p>
        </w:tc>
        <w:tc>
          <w:tcPr>
            <w:tcW w:w="0" w:type="dxa"/>
            <w:vAlign w:val="bottom"/>
          </w:tcPr>
          <w:p>
            <w:pPr>
              <w:spacing w:after="0"/>
              <w:rPr>
                <w:sz w:val="1"/>
                <w:szCs w:val="1"/>
                <w:color w:val="auto"/>
              </w:rPr>
            </w:pPr>
          </w:p>
        </w:tc>
      </w:tr>
      <w:tr>
        <w:trPr>
          <w:trHeight w:val="228"/>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credit facilities</w:t>
            </w:r>
          </w:p>
        </w:tc>
        <w:tc>
          <w:tcPr>
            <w:tcW w:w="240" w:type="dxa"/>
            <w:vAlign w:val="bottom"/>
          </w:tcPr>
          <w:p>
            <w:pPr>
              <w:spacing w:after="0"/>
              <w:rPr>
                <w:sz w:val="21"/>
                <w:szCs w:val="21"/>
                <w:color w:val="auto"/>
              </w:rPr>
            </w:pP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(3,000 )</w:t>
            </w:r>
          </w:p>
        </w:tc>
        <w:tc>
          <w:tcPr>
            <w:tcW w:w="2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0" w:type="dxa"/>
            <w:vAlign w:val="bottom"/>
          </w:tcPr>
          <w:p>
            <w:pPr>
              <w:spacing w:after="0"/>
              <w:rPr>
                <w:sz w:val="1"/>
                <w:szCs w:val="1"/>
                <w:color w:val="auto"/>
              </w:rPr>
            </w:pPr>
          </w:p>
        </w:tc>
      </w:tr>
      <w:tr>
        <w:trPr>
          <w:trHeight w:val="25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 and employee stock purchases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240" w:type="dxa"/>
            <w:vAlign w:val="bottom"/>
          </w:tcPr>
          <w:p>
            <w:pPr>
              <w:spacing w:after="0"/>
              <w:rPr>
                <w:sz w:val="21"/>
                <w:szCs w:val="21"/>
                <w:color w:val="auto"/>
              </w:rPr>
            </w:pP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(284 )</w:t>
            </w:r>
          </w:p>
        </w:tc>
        <w:tc>
          <w:tcPr>
            <w:tcW w:w="2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87"/>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3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capital expenditures in 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 of Cash Flows.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462915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85" w:right="37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21" w:lineRule="exact"/>
        <w:rPr>
          <w:sz w:val="20"/>
          <w:szCs w:val="20"/>
          <w:color w:val="auto"/>
        </w:rPr>
      </w:pPr>
    </w:p>
    <w:p>
      <w:pPr>
        <w:ind w:right="60" w:firstLine="562"/>
        <w:spacing w:after="0" w:line="261" w:lineRule="auto"/>
        <w:rPr>
          <w:sz w:val="20"/>
          <w:szCs w:val="20"/>
          <w:color w:val="auto"/>
        </w:rPr>
      </w:pPr>
      <w:r>
        <w:rPr>
          <w:rFonts w:ascii="Times New Roman" w:cs="Times New Roman" w:eastAsia="Times New Roman" w:hAnsi="Times New Roman"/>
          <w:sz w:val="18"/>
          <w:szCs w:val="18"/>
          <w:color w:val="auto"/>
        </w:rPr>
        <w:t>STRATTEC SECURITY CORPORATION (“STRATTEC”), headquartered in Milwaukee, Wisconsin, is a leading global provider of advanced automotive access, security, and select user interface solutions. Products include power access solutions such as automated lift gates and power doors, door handles, engineered latches, key fobs, advanced security systems, steering wheel controls, and electronic shifters. The majority of our sales are to the three largest automobile original equipment manufacturers (“OEMs”) in North America while we serve all major automotive OEMs globally.</w:t>
      </w:r>
    </w:p>
    <w:p>
      <w:pPr>
        <w:spacing w:after="0" w:line="180" w:lineRule="exact"/>
        <w:rPr>
          <w:sz w:val="20"/>
          <w:szCs w:val="20"/>
          <w:color w:val="auto"/>
        </w:rPr>
      </w:pPr>
    </w:p>
    <w:p>
      <w:pPr>
        <w:ind w:right="620" w:firstLine="562"/>
        <w:spacing w:after="0" w:line="282" w:lineRule="auto"/>
        <w:rPr>
          <w:sz w:val="20"/>
          <w:szCs w:val="20"/>
          <w:color w:val="auto"/>
        </w:rPr>
      </w:pPr>
      <w:r>
        <w:rPr>
          <w:rFonts w:ascii="Times New Roman" w:cs="Times New Roman" w:eastAsia="Times New Roman" w:hAnsi="Times New Roman"/>
          <w:sz w:val="18"/>
          <w:szCs w:val="18"/>
          <w:color w:val="auto"/>
        </w:rPr>
        <w:t>STRATTEC’s condensed consolidated financial statements include our wholly owned subsidiaries STRATTEC de Mexico and STRATTEC POWER ACCESS LLC (“SPA”), and our majority owned subsidiary, ADAC-STRATTEC, LLC. We have one reporting segment.</w:t>
      </w:r>
    </w:p>
    <w:p>
      <w:pPr>
        <w:spacing w:after="0" w:line="162" w:lineRule="exact"/>
        <w:rPr>
          <w:sz w:val="20"/>
          <w:szCs w:val="20"/>
          <w:color w:val="auto"/>
        </w:rPr>
      </w:pPr>
    </w:p>
    <w:p>
      <w:pPr>
        <w:jc w:val="both"/>
        <w:ind w:right="20" w:firstLine="562"/>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balance sheets as of September 29, 2024 and June 30, 2024, which have been derived from our audited financial statements, and the related unaudited interim condensed consolidated financial statements included herein contain all adjustments, consisting only of normal recurring items, necessary for their fair presentation in conformity with accounting principles generally accepted in the United States of America (“U.S. GAAP”) and in accordance with Rule 10-01 of Regulation S-X. All significant intercompany transactions have been eliminated.</w:t>
      </w:r>
    </w:p>
    <w:p>
      <w:pPr>
        <w:spacing w:after="0" w:line="183" w:lineRule="exact"/>
        <w:rPr>
          <w:sz w:val="20"/>
          <w:szCs w:val="20"/>
          <w:color w:val="auto"/>
        </w:rPr>
      </w:pPr>
    </w:p>
    <w:p>
      <w:pPr>
        <w:ind w:right="140" w:firstLine="569"/>
        <w:spacing w:after="0" w:line="266" w:lineRule="auto"/>
        <w:rPr>
          <w:sz w:val="20"/>
          <w:szCs w:val="20"/>
          <w:color w:val="auto"/>
        </w:rPr>
      </w:pPr>
      <w:r>
        <w:rPr>
          <w:rFonts w:ascii="Times New Roman" w:cs="Times New Roman" w:eastAsia="Times New Roman" w:hAnsi="Times New Roman"/>
          <w:sz w:val="18"/>
          <w:szCs w:val="18"/>
          <w:color w:val="auto"/>
        </w:rPr>
        <w:t>STRATTEC’s results of operations and cash flows for the three months ended September 29, 2024 are not necessarily indicative of the results that may be expected for the current fiscal year, which ends June 29, 2025 (“fiscal 2025”). The information included in this Form 10-Q should be read in conjunction with the financial statements and notes thereto included in our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ind w:right="320" w:firstLine="562"/>
        <w:spacing w:after="0" w:line="266" w:lineRule="auto"/>
        <w:rPr>
          <w:sz w:val="20"/>
          <w:szCs w:val="20"/>
          <w:color w:val="auto"/>
        </w:rPr>
      </w:pPr>
      <w:r>
        <w:rPr>
          <w:rFonts w:ascii="Times New Roman" w:cs="Times New Roman" w:eastAsia="Times New Roman" w:hAnsi="Times New Roman"/>
          <w:sz w:val="18"/>
          <w:szCs w:val="18"/>
          <w:color w:val="auto"/>
        </w:rPr>
        <w:t>STRATTEC’s significant accounting policies are described under Organization and Summary of Significant Accounting Policies in Notes to Financial Statements included in our Annual Report. There have been no material changes to the significant accounting policies during the three-month period ended September 29,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These changing conditions may also affect the estimates and assumptions made by our management in our financial statements. Such estimates and assumptions affect, among other things, our long-lived asset valuations, assessment of our annual effective tax rate, valuation of deferred income taxes, assessment of excess and obsolete inventory reserves, and assessment of collectability of trade receivables.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and Recently Issued Accounting Standards</w:t>
      </w:r>
    </w:p>
    <w:p>
      <w:pPr>
        <w:spacing w:after="0" w:line="117"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The update enhances annual and interim reportable segment disclosures primarily by requiring disclosures about significant reportable segment expenses and provides new segment disclosure requirements for entities with a single reportable segment. ASU 2023-07 is effective for public business entities for fiscal years beginning after December 15, 2023 and for interim periods within fiscal years beginning after December 15, 2024, with early adoption permitted. This update is to be applied retrospectively to all periods presented in the financial statements. Annual reporting under this update becomes effective for our 2025 fiscal year. Interim reporting under this update becomes effective for us in our fiscal 2026. We are assessing the impact of this standard and expect that any impact would be limited to the addition of single reportable segment disclosure with segment expense disclosures in the footnotes to our consolidated financial statements.</w:t>
      </w:r>
    </w:p>
    <w:p>
      <w:pPr>
        <w:spacing w:after="0" w:line="185"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update requires greater disaggregation of income tax disclosures related to the income tax rate reconciliation and income taxes paid. ASU 2023-09 is effective for public business entities for annual periods beginning after December 15, 2024, with early adoption permitted. This update is to be applied on a prospective basis. Retrospective application is permitted. Annual reporting under this update becomes effective for us in our fiscal 2026. We are currently assessing the required disclosure impacts of this update.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21" w:lineRule="exact"/>
        <w:rPr>
          <w:sz w:val="20"/>
          <w:szCs w:val="20"/>
          <w:color w:val="auto"/>
        </w:rPr>
      </w:pPr>
    </w:p>
    <w:p>
      <w:pPr>
        <w:ind w:firstLine="562"/>
        <w:spacing w:after="0" w:line="266" w:lineRule="auto"/>
        <w:rPr>
          <w:sz w:val="20"/>
          <w:szCs w:val="20"/>
          <w:color w:val="auto"/>
        </w:rPr>
      </w:pPr>
      <w:r>
        <w:rPr>
          <w:rFonts w:ascii="Times New Roman" w:cs="Times New Roman" w:eastAsia="Times New Roman" w:hAnsi="Times New Roman"/>
          <w:sz w:val="18"/>
          <w:szCs w:val="18"/>
          <w:color w:val="auto"/>
        </w:rPr>
        <w:t>We generate revenue from the production of parts sold to OEMs, or Tier 1 suppliers at the direction of the OEM, under long-term supply agreements supporting new vehicle production. Such agreements also require related production of service parts subsequent to the initial vehicle production periods. Additionally, we generate revenue from the production of parts sold in aftermarket service channels and to non-automotive commercial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no material contract assets or contract liabilities as of September 29, 2024 or June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Product Group and Customer</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 by product group for the periods presented was as follows (thousands of dollars):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tcBorders>
              <w:bottom w:val="single" w:sz="8" w:color="auto"/>
            </w:tcBorders>
          </w:tcPr>
          <w:p>
            <w:pPr>
              <w:spacing w:after="0"/>
              <w:rPr>
                <w:sz w:val="16"/>
                <w:szCs w:val="16"/>
                <w:color w:val="auto"/>
              </w:rPr>
            </w:pPr>
          </w:p>
        </w:tc>
      </w:tr>
      <w:tr>
        <w:trPr>
          <w:trHeight w:val="131"/>
        </w:trPr>
        <w:tc>
          <w:tcPr>
            <w:tcW w:w="4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jc w:val="right"/>
              <w:ind w:right="474"/>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r>
      <w:tr>
        <w:trPr>
          <w:trHeight w:val="187"/>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Door handles &amp; exterior trim</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3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32,768</w:t>
            </w: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Power access</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34,779</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32,651</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Keys &amp; locksets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30,295</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Latches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15,552</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User interface controls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Aftermarket &amp; OE service</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3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232"/>
        </w:trPr>
        <w:tc>
          <w:tcPr>
            <w:tcW w:w="49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139,052</w:t>
            </w:r>
          </w:p>
        </w:tc>
        <w:tc>
          <w:tcPr>
            <w:tcW w:w="30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135,406</w:t>
            </w: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 by customer or customer group for the periods presented was as follows (thousands of dollars):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tcBorders>
              <w:bottom w:val="single" w:sz="8" w:color="auto"/>
            </w:tcBorders>
          </w:tcPr>
          <w:p>
            <w:pPr>
              <w:spacing w:after="0"/>
              <w:rPr>
                <w:sz w:val="16"/>
                <w:szCs w:val="16"/>
                <w:color w:val="auto"/>
              </w:rPr>
            </w:pPr>
          </w:p>
        </w:tc>
      </w:tr>
      <w:tr>
        <w:trPr>
          <w:trHeight w:val="131"/>
        </w:trPr>
        <w:tc>
          <w:tcPr>
            <w:tcW w:w="4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jc w:val="right"/>
              <w:ind w:right="494"/>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r>
      <w:tr>
        <w:trPr>
          <w:trHeight w:val="187"/>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42,160</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40,505</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32,137</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26,909</w:t>
            </w:r>
          </w:p>
        </w:tc>
      </w:t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Stellantis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27,297</w:t>
            </w:r>
          </w:p>
        </w:tc>
      </w:t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Tier 1 Customers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20,082</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18,122</w:t>
            </w:r>
          </w:p>
        </w:tc>
      </w:t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Other OEM Customers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14,197</w:t>
            </w:r>
          </w:p>
        </w:tc>
      </w:tr>
      <w:tr>
        <w:trPr>
          <w:trHeight w:val="25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Hyundai / Kia</w:t>
            </w: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2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w:t>
            </w:r>
          </w:p>
        </w:tc>
      </w:tr>
      <w:tr>
        <w:trPr>
          <w:trHeight w:val="232"/>
        </w:trPr>
        <w:tc>
          <w:tcPr>
            <w:tcW w:w="49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139,052</w:t>
            </w:r>
          </w:p>
        </w:tc>
        <w:tc>
          <w:tcPr>
            <w:tcW w:w="28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135,406</w:t>
            </w: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PRE-PRODUCTION COSTS</w:t>
      </w:r>
    </w:p>
    <w:p>
      <w:pPr>
        <w:spacing w:after="0" w:line="121" w:lineRule="exact"/>
        <w:rPr>
          <w:sz w:val="20"/>
          <w:szCs w:val="20"/>
          <w:color w:val="auto"/>
        </w:rPr>
      </w:pPr>
    </w:p>
    <w:p>
      <w:pPr>
        <w:ind w:right="120" w:firstLine="569"/>
        <w:spacing w:after="0" w:line="258" w:lineRule="auto"/>
        <w:rPr>
          <w:sz w:val="20"/>
          <w:szCs w:val="20"/>
          <w:color w:val="auto"/>
        </w:rPr>
      </w:pPr>
      <w:r>
        <w:rPr>
          <w:rFonts w:ascii="Times New Roman" w:cs="Times New Roman" w:eastAsia="Times New Roman" w:hAnsi="Times New Roman"/>
          <w:sz w:val="18"/>
          <w:szCs w:val="18"/>
          <w:color w:val="auto"/>
        </w:rPr>
        <w:t>We incur customer-owned tooling and engineering development pre-production costs related to the products we produce for our customers. Pre-production costs for which reimbursement is contractually guaranteed by the customer are accumulated on the balance sheet and are then billed to the customer upon formal acceptance by the customer of products produced with the individual tools or upon customer approval of the completed engineering development. To the extent that the costs exceed expected reimbursement from the customer, we recognized expense. Costs for tooling that STRATTEC owns are capitalized as equipment costs and depreciated over the estimated useful lives of the tools.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VALUE-ADDED TAX</w:t>
      </w:r>
    </w:p>
    <w:p>
      <w:pPr>
        <w:spacing w:after="0" w:line="121" w:lineRule="exact"/>
        <w:rPr>
          <w:sz w:val="20"/>
          <w:szCs w:val="20"/>
          <w:color w:val="auto"/>
        </w:rPr>
      </w:pPr>
    </w:p>
    <w:p>
      <w:pPr>
        <w:ind w:right="140" w:firstLine="569"/>
        <w:spacing w:after="0" w:line="252" w:lineRule="auto"/>
        <w:rPr>
          <w:sz w:val="20"/>
          <w:szCs w:val="20"/>
          <w:color w:val="auto"/>
        </w:rPr>
      </w:pPr>
      <w:r>
        <w:rPr>
          <w:rFonts w:ascii="Times New Roman" w:cs="Times New Roman" w:eastAsia="Times New Roman" w:hAnsi="Times New Roman"/>
          <w:sz w:val="18"/>
          <w:szCs w:val="18"/>
          <w:color w:val="auto"/>
        </w:rPr>
        <w:t>Our Mexican entities are subject to value-added tax (“VAT”). VAT is paid on goods and services and collected on sales. A VAT certification generally allows for relief from VAT tax for temporarily imported goods. Our VAT recoverable and payable balances were increased as of September 29, 2024 and June 30, 2024 due to a temporary issue with our VAT tax certification that began during our quarter ended October 1, 2023. Although the certification issue was resolved during our quarter ended December 31, 2023, we were required to pay VAT on all parts temporarily imported into Mexico before seeking reimbursement for periods in which the certification issue was outstanding, which periods are now open to audit with the Mexican tax authority along with all periods subsequent to resolution of the certification issue. We believe temporary increases in the VAT recoverable and payable balances will remain elevated until the periods under audit are closed.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6. DERIVATIVE INSTRUMENTS</w:t>
      </w:r>
    </w:p>
    <w:p>
      <w:pPr>
        <w:spacing w:after="0" w:line="121"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We own and operate manufacturing operations in Mexico. As a result, a portion of our manufacturing costs are incurred in Mexican pesos, which causes our earnings and cash flows to fluctuate due to changes in the U.S. dollar/Mexican peso exchange rate. During fiscal 2025, we entered into contracts with Bank of Montreal that provides for monthly Mexican peso currency forward contracts for a portion of our estimated peso denominated operating costs during the period September 2024 through August 2025. During fiscal 2024, we had contracts with Bank of Montreal that provided for monthly Mexican peso currency forward contracts for a portion of our estimated peso denominated operating costs during the period January 2024 through June 2024. Our objective in entering into currency forward contracts is to minimize our earnings volatility resulting from changes in exchange rates affecting the U.S. dollar cost of our Mexican operations. The Mexican peso forward contracts are not used for speculative purposes and are not designated as hedges. As a result, all currency forward contracts are recognized in our accompanying condensed consolidated financial statements at fair value and changes in the fair value are reported in current earnings as part of Other Income, net.</w:t>
      </w:r>
    </w:p>
    <w:p>
      <w:pPr>
        <w:spacing w:after="0" w:line="188" w:lineRule="exact"/>
        <w:rPr>
          <w:sz w:val="20"/>
          <w:szCs w:val="20"/>
          <w:color w:val="auto"/>
        </w:rPr>
      </w:pPr>
    </w:p>
    <w:p>
      <w:pPr>
        <w:ind w:right="4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quantifies the outstanding Mexican peso forward contracts as of September 29, 2024 (thousands of dollars, except with respect to the average forward contractual exchange rate):</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Forward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236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Dates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Buy MXP/Sell USD</w:t>
            </w:r>
          </w:p>
        </w:tc>
        <w:tc>
          <w:tcPr>
            <w:tcW w:w="3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15, 2024 − August 18, 2025</w:t>
            </w:r>
          </w:p>
        </w:tc>
        <w:tc>
          <w:tcPr>
            <w:tcW w:w="1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20" w:lineRule="exact"/>
        <w:rPr>
          <w:sz w:val="20"/>
          <w:szCs w:val="20"/>
          <w:color w:val="auto"/>
        </w:rPr>
      </w:pPr>
    </w:p>
    <w:p>
      <w:pPr>
        <w:ind w:right="260" w:firstLine="569"/>
        <w:spacing w:after="0" w:line="282" w:lineRule="auto"/>
        <w:rPr>
          <w:sz w:val="20"/>
          <w:szCs w:val="20"/>
          <w:color w:val="auto"/>
        </w:rPr>
      </w:pPr>
      <w:r>
        <w:rPr>
          <w:rFonts w:ascii="Times New Roman" w:cs="Times New Roman" w:eastAsia="Times New Roman" w:hAnsi="Times New Roman"/>
          <w:sz w:val="18"/>
          <w:szCs w:val="18"/>
          <w:color w:val="auto"/>
        </w:rPr>
        <w:t>The fair market value of all outstanding Mexican peso forward contracts in the accompanying Condensed Consolidated Balance Sheets as of the dates specified was as follows (thousands of dollars):</w:t>
      </w:r>
    </w:p>
    <w:p>
      <w:pPr>
        <w:sectPr>
          <w:pgSz w:w="11900" w:h="16838" w:orient="portrait"/>
          <w:cols w:equalWidth="0" w:num="1">
            <w:col w:w="11220"/>
          </w:cols>
          <w:pgMar w:left="320" w:top="1305" w:right="359" w:bottom="1440" w:gutter="0" w:footer="0" w:header="0"/>
        </w:sectPr>
      </w:pPr>
    </w:p>
    <w:p>
      <w:pPr>
        <w:spacing w:after="0" w:line="16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September 29,</w:t>
      </w:r>
    </w:p>
    <w:p>
      <w:pPr>
        <w:spacing w:after="0" w:line="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5080</wp:posOffset>
            </wp:positionV>
            <wp:extent cx="916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5080</wp:posOffset>
            </wp:positionV>
            <wp:extent cx="8997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8880" w:space="720"/>
            <w:col w:w="1620"/>
          </w:cols>
          <w:pgMar w:left="320" w:top="1305"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Not designated as hedging instruments:</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36" w:lineRule="exact"/>
        <w:rPr>
          <w:sz w:val="20"/>
          <w:szCs w:val="20"/>
          <w:color w:val="auto"/>
        </w:rPr>
      </w:pPr>
    </w:p>
    <w:p>
      <w:pPr>
        <w:ind w:left="940"/>
        <w:spacing w:after="0"/>
        <w:tabs>
          <w:tab w:leader="none" w:pos="7460" w:val="left"/>
          <w:tab w:leader="none" w:pos="8540" w:val="left"/>
          <w:tab w:leader="none" w:pos="9160" w:val="left"/>
          <w:tab w:leader="none" w:pos="10360" w:val="left"/>
        </w:tabs>
        <w:rPr>
          <w:sz w:val="20"/>
          <w:szCs w:val="20"/>
          <w:color w:val="auto"/>
        </w:rPr>
      </w:pPr>
      <w:r>
        <w:rPr>
          <w:rFonts w:ascii="Times New Roman" w:cs="Times New Roman" w:eastAsia="Times New Roman" w:hAnsi="Times New Roman"/>
          <w:sz w:val="18"/>
          <w:szCs w:val="18"/>
          <w:color w:val="auto"/>
        </w:rPr>
        <w:t>Mexican peso forward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(652 )</w:t>
        <w:tab/>
        <w:t>$</w:t>
      </w:r>
      <w:r>
        <w:rPr>
          <w:sz w:val="20"/>
          <w:szCs w:val="20"/>
          <w:color w:val="auto"/>
        </w:rPr>
        <w:tab/>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right="580" w:firstLine="569"/>
        <w:spacing w:after="0" w:line="282" w:lineRule="auto"/>
        <w:rPr>
          <w:sz w:val="20"/>
          <w:szCs w:val="20"/>
          <w:color w:val="auto"/>
        </w:rPr>
      </w:pPr>
      <w:r>
        <w:rPr>
          <w:rFonts w:ascii="Times New Roman" w:cs="Times New Roman" w:eastAsia="Times New Roman" w:hAnsi="Times New Roman"/>
          <w:sz w:val="18"/>
          <w:szCs w:val="18"/>
          <w:color w:val="auto"/>
        </w:rPr>
        <w:t>The pre-tax effects of the Mexican peso forward contracts are included in Other Income, net on the accompanying Condensed Consolidated Statements of Income and Comprehensive Income and consisted of the following for the periods indicated below (thousands of dollars):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tcBorders>
              <w:bottom w:val="single" w:sz="8" w:color="auto"/>
            </w:tcBorders>
          </w:tcPr>
          <w:p>
            <w:pPr>
              <w:spacing w:after="0"/>
              <w:rPr>
                <w:sz w:val="16"/>
                <w:szCs w:val="16"/>
                <w:color w:val="auto"/>
              </w:rPr>
            </w:pPr>
          </w:p>
        </w:tc>
      </w:tr>
      <w:tr>
        <w:trPr>
          <w:trHeight w:val="131"/>
        </w:trPr>
        <w:tc>
          <w:tcPr>
            <w:tcW w:w="5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40" w:type="dxa"/>
            <w:vAlign w:val="bottom"/>
            <w:gridSpan w:val="2"/>
          </w:tcPr>
          <w:p>
            <w:pPr>
              <w:jc w:val="center"/>
              <w:ind w:right="7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580" w:type="dxa"/>
            <w:vAlign w:val="bottom"/>
          </w:tcPr>
          <w:p>
            <w:pPr>
              <w:spacing w:after="0"/>
              <w:rPr>
                <w:sz w:val="11"/>
                <w:szCs w:val="11"/>
                <w:color w:val="auto"/>
              </w:rPr>
            </w:pPr>
          </w:p>
        </w:tc>
        <w:tc>
          <w:tcPr>
            <w:tcW w:w="1520" w:type="dxa"/>
            <w:vAlign w:val="bottom"/>
          </w:tcPr>
          <w:p>
            <w:pPr>
              <w:jc w:val="center"/>
              <w:ind w:right="542"/>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r>
      <w:tr>
        <w:trPr>
          <w:trHeight w:val="187"/>
        </w:trPr>
        <w:tc>
          <w:tcPr>
            <w:tcW w:w="5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Not designated as hedging instruments:</w:t>
            </w: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and unrealized loss, net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(735 )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OF FINANCIAL INSTRUMENTS</w:t>
      </w:r>
    </w:p>
    <w:p>
      <w:pPr>
        <w:spacing w:after="0" w:line="121" w:lineRule="exact"/>
        <w:rPr>
          <w:sz w:val="20"/>
          <w:szCs w:val="20"/>
          <w:color w:val="auto"/>
        </w:rPr>
      </w:pPr>
    </w:p>
    <w:p>
      <w:pPr>
        <w:ind w:right="380" w:firstLine="562"/>
        <w:spacing w:after="0" w:line="271" w:lineRule="auto"/>
        <w:rPr>
          <w:sz w:val="20"/>
          <w:szCs w:val="20"/>
          <w:color w:val="auto"/>
        </w:rPr>
      </w:pPr>
      <w:r>
        <w:rPr>
          <w:rFonts w:ascii="Times New Roman" w:cs="Times New Roman" w:eastAsia="Times New Roman" w:hAnsi="Times New Roman"/>
          <w:sz w:val="17"/>
          <w:szCs w:val="17"/>
          <w:color w:val="auto"/>
        </w:rPr>
        <w:t>The fair value of our cash and cash equivalents, accounts receivable, accounts payable and borrowings under our credit facilities approximated book value as of September 29, 2024 and June 30, 2024. Fair value is defined as the exchange price that would be received for an asset or paid for a liability (an exit price) in the principal or most advantageous market in an orderly transaction between market participants on the measurement date.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type w:val="continuous"/>
        </w:sectPr>
      </w:pPr>
    </w:p>
    <w:bookmarkStart w:id="8" w:name="page9"/>
    <w:bookmarkEnd w:id="8"/>
    <w:p>
      <w:pPr>
        <w:ind w:right="220"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assets and liabilities measured at fair value on a recurring basis as of September 29, 2024 and June 30, 2024 (in thousands):</w:t>
      </w:r>
    </w:p>
    <w:p>
      <w:pPr>
        <w:sectPr>
          <w:pgSz w:w="11900" w:h="16838" w:orient="portrait"/>
          <w:cols w:equalWidth="0" w:num="1">
            <w:col w:w="11220"/>
          </w:cols>
          <w:pgMar w:left="320" w:top="12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Assets:</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Rabbi Trust assets: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Stock Index Funds:</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Small cap</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Mid cap</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Large cap</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International</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Fixed income funds</w:t>
      </w:r>
    </w:p>
    <w:p>
      <w:pPr>
        <w:spacing w:after="0" w:line="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assets at fair value</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Liabilities: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Mexican peso forward contracts</w:t>
      </w:r>
    </w:p>
    <w:p>
      <w:pPr>
        <w:spacing w:after="0" w:line="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liabilities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Assets:</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Rabbi Trust assets: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Stock Index Funds:</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Small cap</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Mid cap</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Large cap</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International</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Fixed income funds</w:t>
      </w:r>
    </w:p>
    <w:p>
      <w:pPr>
        <w:spacing w:after="0" w:line="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assets at fair value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September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802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Fair Value Inputs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Level 2 Assets:</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2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1 Assets: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Level 3 Assets:</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97"/>
              <w:spacing w:after="0" w:line="146" w:lineRule="exact"/>
              <w:rPr>
                <w:sz w:val="20"/>
                <w:szCs w:val="20"/>
                <w:color w:val="auto"/>
              </w:rPr>
            </w:pPr>
            <w:r>
              <w:rPr>
                <w:rFonts w:ascii="Times New Roman" w:cs="Times New Roman" w:eastAsia="Times New Roman" w:hAnsi="Times New Roman"/>
                <w:sz w:val="14"/>
                <w:szCs w:val="14"/>
                <w:b w:val="1"/>
                <w:bCs w:val="1"/>
                <w:color w:val="auto"/>
              </w:rPr>
              <w:t>Inputs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2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Than Market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 Active Markets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952"/>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 Inputs</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Level 2 Assets: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2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1 Assets: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Level 3 Assets:</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97"/>
              <w:spacing w:after="0" w:line="146" w:lineRule="exact"/>
              <w:rPr>
                <w:sz w:val="20"/>
                <w:szCs w:val="20"/>
                <w:color w:val="auto"/>
              </w:rPr>
            </w:pPr>
            <w:r>
              <w:rPr>
                <w:rFonts w:ascii="Times New Roman" w:cs="Times New Roman" w:eastAsia="Times New Roman" w:hAnsi="Times New Roman"/>
                <w:sz w:val="14"/>
                <w:szCs w:val="14"/>
                <w:b w:val="1"/>
                <w:bCs w:val="1"/>
                <w:color w:val="auto"/>
              </w:rPr>
              <w:t>Inputs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2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Than Market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 Active Markets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952"/>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4900" w:space="720"/>
            <w:col w:w="5600"/>
          </w:cols>
          <w:pgMar w:left="320" w:top="1201" w:right="359" w:bottom="1440" w:gutter="0" w:footer="0" w:header="0"/>
          <w:type w:val="continuous"/>
        </w:sectPr>
      </w:pPr>
    </w:p>
    <w:p>
      <w:pPr>
        <w:ind w:right="200" w:firstLine="562"/>
        <w:spacing w:after="0" w:line="282" w:lineRule="auto"/>
        <w:rPr>
          <w:sz w:val="20"/>
          <w:szCs w:val="20"/>
          <w:color w:val="auto"/>
        </w:rPr>
      </w:pPr>
      <w:r>
        <w:rPr>
          <w:rFonts w:ascii="Times New Roman" w:cs="Times New Roman" w:eastAsia="Times New Roman" w:hAnsi="Times New Roman"/>
          <w:sz w:val="18"/>
          <w:szCs w:val="18"/>
          <w:color w:val="auto"/>
        </w:rPr>
        <w:t>The Rabbi Trust assets fund our Amended and Restated Supplemental Executive Retirement Plan and are included in Other Long-Term Assets in the accompanying Condensed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MAJORITY OWNED SUBSIDIARY</w:t>
      </w:r>
    </w:p>
    <w:p>
      <w:pPr>
        <w:spacing w:after="0" w:line="229" w:lineRule="exact"/>
        <w:rPr>
          <w:sz w:val="20"/>
          <w:szCs w:val="20"/>
          <w:color w:val="auto"/>
        </w:rPr>
      </w:pPr>
    </w:p>
    <w:p>
      <w:pPr>
        <w:ind w:firstLine="562"/>
        <w:spacing w:after="0" w:line="252" w:lineRule="auto"/>
        <w:rPr>
          <w:sz w:val="20"/>
          <w:szCs w:val="20"/>
          <w:color w:val="auto"/>
        </w:rPr>
      </w:pPr>
      <w:r>
        <w:rPr>
          <w:rFonts w:ascii="Times New Roman" w:cs="Times New Roman" w:eastAsia="Times New Roman" w:hAnsi="Times New Roman"/>
          <w:sz w:val="18"/>
          <w:szCs w:val="18"/>
          <w:color w:val="auto"/>
        </w:rPr>
        <w:t>ADAC-STRATTEC LLC, a Delaware limited liability company, was formed in fiscal year 2007 to support injection molding and door handle assembly operations in Mexico. ADAC-STRATTEC LLC was 51 percent owned by STRATTEC and 49 percent owned by ADAC Automotive of Grand Rapids, Michigan (“ADAC”) for all periods presented in this report. An additional Mexican entity, ADAC-STRATTEC de Mexico, is wholly owned by ADAC-STRATTEC LLC. ADAC-STRATTEC LLC’s financial results are consolidated with the financial results of STRATTEC and resulted in increased net sales to STRATTEC of approximately $35.4 million with no impact to net income during the three-month period ended September 29, 2024 and increased net sales and reduced net income to STRATTEC of approximately $32.8 million and $324,000, respectively, during the three-month period ended October 1, 2023.</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type w:val="continuous"/>
        </w:sectPr>
      </w:pPr>
    </w:p>
    <w:bookmarkStart w:id="9" w:name="page10"/>
    <w:bookmarkEnd w:id="9"/>
    <w:p>
      <w:pPr>
        <w:ind w:right="40" w:firstLine="562"/>
        <w:spacing w:after="0" w:line="261" w:lineRule="auto"/>
        <w:rPr>
          <w:sz w:val="20"/>
          <w:szCs w:val="20"/>
          <w:color w:val="auto"/>
        </w:rPr>
      </w:pPr>
      <w:r>
        <w:rPr>
          <w:rFonts w:ascii="Times New Roman" w:cs="Times New Roman" w:eastAsia="Times New Roman" w:hAnsi="Times New Roman"/>
          <w:sz w:val="18"/>
          <w:szCs w:val="18"/>
          <w:color w:val="auto"/>
        </w:rPr>
        <w:t>ADAC charges ADAC STRATTEC LLC an engineering, research and design fee as well as a sales fee. Such fees are calculated as a percentage of net sales and are included in the consolidated results of STRATTEC. Additionally, ADAC-STRATTEC LLC sells production parts to ADAC. Sales to ADAC are included in the consolidated results of STRATTEC. The following table summarizes these related party transactions for the periods indicated below (in thousands):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right"/>
              <w:ind w:right="30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jc w:val="right"/>
              <w:ind w:right="419"/>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r>
      <w:tr>
        <w:trPr>
          <w:trHeight w:val="187"/>
        </w:trPr>
        <w:tc>
          <w:tcPr>
            <w:tcW w:w="6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Engineering, research and design fee charged to</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ADAC-STRATTEC LLC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r>
      <w:tr>
        <w:trPr>
          <w:trHeight w:val="24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Sales to ADAC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EQUITY LOSS FROM JOINT VENTURES</w:t>
      </w:r>
    </w:p>
    <w:p>
      <w:pPr>
        <w:spacing w:after="0" w:line="121" w:lineRule="exact"/>
        <w:rPr>
          <w:sz w:val="20"/>
          <w:szCs w:val="20"/>
          <w:color w:val="auto"/>
        </w:rPr>
      </w:pPr>
    </w:p>
    <w:p>
      <w:pPr>
        <w:ind w:right="200" w:firstLine="562"/>
        <w:spacing w:after="0" w:line="261" w:lineRule="auto"/>
        <w:rPr>
          <w:sz w:val="20"/>
          <w:szCs w:val="20"/>
          <w:color w:val="auto"/>
        </w:rPr>
      </w:pPr>
      <w:r>
        <w:rPr>
          <w:rFonts w:ascii="Times New Roman" w:cs="Times New Roman" w:eastAsia="Times New Roman" w:hAnsi="Times New Roman"/>
          <w:sz w:val="18"/>
          <w:szCs w:val="18"/>
          <w:color w:val="auto"/>
        </w:rPr>
        <w:t>Prior to June 30, 2023, STRATTEC, WITTE Automotive of Velbert, Germany (“WITTE”) and ADAC each held a one-third interest in a joint venture company, Vehicle Access Systems LLC (“VAST LLC”). Effective June 30, 2023, we sold our one-third ownership interest in VAST LLC, under which we exercised significant influence but did not control. The equity loss of joint ventures for the three-month period ended October 1, 2023 was the result of additional professional fees incurred related to the sale of VAST LLC.</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PROPERTY, PLANT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as of September 29, 2024 and October 1, 2023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320" w:type="dxa"/>
            <w:vAlign w:val="bottom"/>
          </w:tcPr>
          <w:p>
            <w:pPr>
              <w:spacing w:after="0"/>
              <w:rPr>
                <w:sz w:val="13"/>
                <w:szCs w:val="13"/>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r>
      <w:tr>
        <w:trPr>
          <w:trHeight w:val="228"/>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80" w:type="dxa"/>
            <w:vAlign w:val="bottom"/>
          </w:tcPr>
          <w:p>
            <w:pPr>
              <w:spacing w:after="0"/>
              <w:rPr>
                <w:sz w:val="19"/>
                <w:szCs w:val="19"/>
                <w:color w:val="auto"/>
              </w:rPr>
            </w:pPr>
          </w:p>
        </w:tc>
      </w:t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39,927</w:t>
            </w:r>
          </w:p>
        </w:tc>
        <w:tc>
          <w:tcPr>
            <w:tcW w:w="80" w:type="dxa"/>
            <w:vAlign w:val="bottom"/>
          </w:tcPr>
          <w:p>
            <w:pPr>
              <w:spacing w:after="0"/>
              <w:rPr>
                <w:sz w:val="20"/>
                <w:szCs w:val="20"/>
                <w:color w:val="auto"/>
              </w:rPr>
            </w:pPr>
          </w:p>
        </w:tc>
      </w:tr>
      <w:tr>
        <w:trPr>
          <w:trHeight w:val="25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231,912</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258,622</w:t>
            </w:r>
          </w:p>
        </w:tc>
        <w:tc>
          <w:tcPr>
            <w:tcW w:w="80" w:type="dxa"/>
            <w:vAlign w:val="bottom"/>
          </w:tcPr>
          <w:p>
            <w:pPr>
              <w:spacing w:after="0"/>
              <w:rPr>
                <w:sz w:val="22"/>
                <w:szCs w:val="22"/>
                <w:color w:val="auto"/>
              </w:rPr>
            </w:pPr>
          </w:p>
        </w:tc>
      </w:tr>
      <w:tr>
        <w:trPr>
          <w:trHeight w:val="228"/>
        </w:trPr>
        <w:tc>
          <w:tcPr>
            <w:tcW w:w="6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276,550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305,246</w:t>
            </w:r>
          </w:p>
        </w:tc>
        <w:tc>
          <w:tcPr>
            <w:tcW w:w="80" w:type="dxa"/>
            <w:vAlign w:val="bottom"/>
          </w:tcPr>
          <w:p>
            <w:pPr>
              <w:spacing w:after="0"/>
              <w:rPr>
                <w:sz w:val="19"/>
                <w:szCs w:val="19"/>
                <w:color w:val="auto"/>
              </w:rPr>
            </w:pPr>
          </w:p>
        </w:tc>
      </w:tr>
      <w:tr>
        <w:trPr>
          <w:trHeight w:val="252"/>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21"/>
                <w:szCs w:val="21"/>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(194,029 )</w:t>
            </w:r>
          </w:p>
        </w:tc>
        <w:tc>
          <w:tcPr>
            <w:tcW w:w="3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(219,062 )</w:t>
            </w:r>
          </w:p>
        </w:tc>
      </w:tr>
      <w:tr>
        <w:trPr>
          <w:trHeight w:val="232"/>
        </w:trPr>
        <w:tc>
          <w:tcPr>
            <w:tcW w:w="64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82,521</w:t>
            </w:r>
          </w:p>
        </w:tc>
        <w:tc>
          <w:tcPr>
            <w:tcW w:w="2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86,184</w:t>
            </w:r>
          </w:p>
        </w:tc>
        <w:tc>
          <w:tcPr>
            <w:tcW w:w="80" w:type="dxa"/>
            <w:vAlign w:val="bottom"/>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12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Our right-of-use operating lease assets are recorded at the present value of future minimum lease payments, net of amortization. We have an operating lease for our El Paso, Texas finished goods and service parts distribution warehouse. This lease has a current lease term through December 2028 and does not include any options to extend the lease term beyond such timeframe. We have two operating leases for office space at our Korean branch office. Both of these leases have a lease term through June 2025 with automatic renewal. For purposes of calculating operating lease obligations, we included an extension of four years after June 2024 as it is reasonably certain that we will exercise such automatic renewals. Our leases do not contain material residual value guarantees or restrictive covenants. Operating lease expense is recognized on a straight-line basis over the lease term.</w:t>
      </w:r>
    </w:p>
    <w:p>
      <w:pPr>
        <w:spacing w:after="0" w:line="187"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As the leases do not provide an implicit rate, we used our incremental borrowing rate at lease commencement to determine the present value of our lease payments. The incremental borrowing rate is an entity-specific rate which represents the rate of interest we would pay to borrow over a similar term with similar payments. Our operating lease assets and obligations included in the accompanying Condensed Consolidated Balance Sheets are presented below (in thousands):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87"/>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Right-of use assets under operating lease:</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62"/>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vMerge w:val="continue"/>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Lease obligations under operating lease:</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 Accrued liabilities: other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5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232"/>
        </w:trPr>
        <w:tc>
          <w:tcPr>
            <w:tcW w:w="8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10" w:name="page11"/>
    <w:bookmarkEnd w:id="10"/>
    <w:p>
      <w:pPr>
        <w:ind w:right="520" w:firstLine="562"/>
        <w:spacing w:after="0" w:line="282" w:lineRule="auto"/>
        <w:rPr>
          <w:sz w:val="20"/>
          <w:szCs w:val="20"/>
          <w:color w:val="auto"/>
        </w:rPr>
      </w:pPr>
      <w:r>
        <w:rPr>
          <w:rFonts w:ascii="Times New Roman" w:cs="Times New Roman" w:eastAsia="Times New Roman" w:hAnsi="Times New Roman"/>
          <w:sz w:val="18"/>
          <w:szCs w:val="18"/>
          <w:color w:val="auto"/>
        </w:rPr>
        <w:t>Future minimum lease payments, by our fiscal year, including options to extend that are reasonably certain to be exercised, under these non-cancelable leases are as follows as of September 29, 2024 (in thousands):</w:t>
      </w:r>
    </w:p>
    <w:p>
      <w:pPr>
        <w:sectPr>
          <w:pgSz w:w="11900" w:h="16838" w:orient="portrait"/>
          <w:cols w:equalWidth="0" w:num="1">
            <w:col w:w="11180"/>
          </w:cols>
          <w:pgMar w:left="320" w:top="985" w:right="399" w:bottom="1440" w:gutter="0" w:footer="0" w:header="0"/>
        </w:sectPr>
      </w:pP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2025 (for the remaining nine months)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2026</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2027</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2028</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2029</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Thereafter</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 future minimum lease payments</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 lease obligations</w:t>
      </w:r>
    </w:p>
    <w:p>
      <w:pPr>
        <w:spacing w:after="0" w:line="2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flow information related to the operating leases is shown below (in thousands):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ind w:left="1400"/>
        <w:spacing w:after="0"/>
        <w:tabs>
          <w:tab w:leader="none" w:pos="2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740</w:t>
      </w:r>
    </w:p>
    <w:p>
      <w:pPr>
        <w:spacing w:after="0" w:line="3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1,026</w:t>
      </w:r>
    </w:p>
    <w:p>
      <w:pPr>
        <w:spacing w:after="0" w:line="3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1,075</w:t>
      </w:r>
    </w:p>
    <w:p>
      <w:pPr>
        <w:spacing w:after="0" w:line="3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1,127</w:t>
      </w:r>
    </w:p>
    <w:p>
      <w:pPr>
        <w:spacing w:after="0" w:line="3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558</w:t>
      </w:r>
    </w:p>
    <w:p>
      <w:pPr>
        <w:spacing w:after="0" w:line="3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26035</wp:posOffset>
            </wp:positionV>
            <wp:extent cx="1097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4,526</w:t>
      </w:r>
    </w:p>
    <w:p>
      <w:pPr>
        <w:spacing w:after="0" w:line="36"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8"/>
          <w:szCs w:val="18"/>
          <w:color w:val="auto"/>
        </w:rPr>
        <w:t>(568 )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26035</wp:posOffset>
            </wp:positionV>
            <wp:extent cx="10972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0" w:lineRule="exact"/>
        <w:rPr>
          <w:sz w:val="20"/>
          <w:szCs w:val="20"/>
          <w:color w:val="auto"/>
        </w:rPr>
      </w:pPr>
    </w:p>
    <w:p>
      <w:pPr>
        <w:ind w:left="2700" w:hanging="1296"/>
        <w:spacing w:after="0"/>
        <w:tabs>
          <w:tab w:leader="none" w:pos="2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26035</wp:posOffset>
            </wp:positionV>
            <wp:extent cx="1097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43180</wp:posOffset>
            </wp:positionV>
            <wp:extent cx="1097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00" w:type="dxa"/>
            <w:vAlign w:val="bottom"/>
            <w:tcBorders>
              <w:top w:val="single" w:sz="8" w:color="auto"/>
            </w:tcBorders>
          </w:tcPr>
          <w:p>
            <w:pPr>
              <w:jc w:val="center"/>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5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r>
      <w:tr>
        <w:trPr>
          <w:trHeight w:val="190"/>
        </w:trPr>
        <w:tc>
          <w:tcPr>
            <w:tcW w:w="160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19799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6740" w:space="720"/>
            <w:col w:w="3720"/>
          </w:cols>
          <w:pgMar w:left="320" w:top="985" w:right="39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Operating cash flows:</w:t>
      </w:r>
    </w:p>
    <w:p>
      <w:pPr>
        <w:spacing w:after="0" w:line="36" w:lineRule="exact"/>
        <w:rPr>
          <w:sz w:val="20"/>
          <w:szCs w:val="20"/>
          <w:color w:val="auto"/>
        </w:rPr>
      </w:pPr>
    </w:p>
    <w:p>
      <w:pPr>
        <w:ind w:left="760"/>
        <w:spacing w:after="0"/>
        <w:tabs>
          <w:tab w:leader="none" w:pos="7460" w:val="left"/>
          <w:tab w:leader="none" w:pos="8600" w:val="left"/>
          <w:tab w:leader="none" w:pos="9160" w:val="left"/>
          <w:tab w:leader="none" w:pos="10280" w:val="left"/>
        </w:tabs>
        <w:rPr>
          <w:sz w:val="20"/>
          <w:szCs w:val="20"/>
          <w:color w:val="auto"/>
        </w:rPr>
      </w:pPr>
      <w:r>
        <w:rPr>
          <w:rFonts w:ascii="Times New Roman" w:cs="Times New Roman" w:eastAsia="Times New Roman" w:hAnsi="Times New Roman"/>
          <w:sz w:val="18"/>
          <w:szCs w:val="18"/>
          <w:color w:val="auto"/>
        </w:rPr>
        <w:t>Cash paid related to operating lease obligations</w:t>
      </w:r>
      <w:r>
        <w:rPr>
          <w:sz w:val="20"/>
          <w:szCs w:val="20"/>
          <w:color w:val="auto"/>
        </w:rPr>
        <w:tab/>
      </w:r>
      <w:r>
        <w:rPr>
          <w:rFonts w:ascii="Times New Roman" w:cs="Times New Roman" w:eastAsia="Times New Roman" w:hAnsi="Times New Roman"/>
          <w:sz w:val="36"/>
          <w:szCs w:val="36"/>
          <w:color w:val="auto"/>
          <w:vertAlign w:val="superscript"/>
        </w:rPr>
        <w:t>$</w:t>
      </w:r>
      <w:r>
        <w:rPr>
          <w:sz w:val="20"/>
          <w:szCs w:val="20"/>
          <w:color w:val="auto"/>
        </w:rPr>
        <w:tab/>
      </w:r>
      <w:r>
        <w:rPr>
          <w:rFonts w:ascii="Times New Roman" w:cs="Times New Roman" w:eastAsia="Times New Roman" w:hAnsi="Times New Roman"/>
          <w:sz w:val="36"/>
          <w:szCs w:val="36"/>
          <w:color w:val="auto"/>
          <w:vertAlign w:val="superscript"/>
        </w:rPr>
        <w:t>250</w:t>
      </w:r>
      <w:r>
        <w:rPr>
          <w:rFonts w:ascii="Times New Roman" w:cs="Times New Roman" w:eastAsia="Times New Roman" w:hAnsi="Times New Roman"/>
          <w:sz w:val="36"/>
          <w:szCs w:val="36"/>
          <w:color w:val="auto"/>
        </w:rPr>
        <w:tab/>
      </w:r>
      <w:r>
        <w:rPr>
          <w:rFonts w:ascii="Times New Roman" w:cs="Times New Roman" w:eastAsia="Times New Roman" w:hAnsi="Times New Roman"/>
          <w:sz w:val="36"/>
          <w:szCs w:val="36"/>
          <w:color w:val="auto"/>
          <w:vertAlign w:val="superscript"/>
        </w:rPr>
        <w:t>$</w:t>
      </w:r>
      <w:r>
        <w:rPr>
          <w:sz w:val="20"/>
          <w:szCs w:val="20"/>
          <w:color w:val="auto"/>
        </w:rPr>
        <w:tab/>
      </w:r>
      <w:r>
        <w:rPr>
          <w:rFonts w:ascii="Times New Roman" w:cs="Times New Roman" w:eastAsia="Times New Roman" w:hAnsi="Times New Roman"/>
          <w:sz w:val="26"/>
          <w:szCs w:val="26"/>
          <w:color w:val="auto"/>
          <w:vertAlign w:val="superscript"/>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-104775</wp:posOffset>
            </wp:positionV>
            <wp:extent cx="197993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79930" cy="26035"/>
                    </a:xfrm>
                    <a:prstGeom prst="rect">
                      <a:avLst/>
                    </a:prstGeom>
                    <a:noFill/>
                  </pic:spPr>
                </pic:pic>
              </a:graphicData>
            </a:graphic>
          </wp:anchor>
        </w:drawing>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 average lease term and discount rate for our operating leases are shown below:</w:t>
      </w:r>
    </w:p>
    <w:p>
      <w:pPr>
        <w:spacing w:after="0" w:line="232"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September 29,</w:t>
      </w:r>
    </w:p>
    <w:p>
      <w:pPr>
        <w:spacing w:after="0" w:line="6"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8" w:lineRule="exact"/>
        <w:rPr>
          <w:sz w:val="20"/>
          <w:szCs w:val="20"/>
          <w:color w:val="auto"/>
        </w:rPr>
      </w:pPr>
    </w:p>
    <w:tbl>
      <w:tblPr>
        <w:tblLayout w:type="fixed"/>
        <w:tblInd w:w="560" w:type="dxa"/>
        <w:tblCellMar>
          <w:top w:w="0" w:type="dxa"/>
          <w:left w:w="0" w:type="dxa"/>
          <w:bottom w:w="0" w:type="dxa"/>
          <w:right w:w="0" w:type="dxa"/>
        </w:tblCellMar>
      </w:tblPr>
      <w:tr>
        <w:trPr>
          <w:trHeight w:val="232"/>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0"/>
                <w:szCs w:val="20"/>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44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 was as follows for the periods presented below (in thousands):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1"/>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6"/>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65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417"/>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60" w:type="dxa"/>
            <w:vAlign w:val="bottom"/>
          </w:tcPr>
          <w:p>
            <w:pPr>
              <w:spacing w:after="0"/>
              <w:rPr>
                <w:sz w:val="11"/>
                <w:szCs w:val="11"/>
                <w:color w:val="auto"/>
              </w:rPr>
            </w:pPr>
          </w:p>
        </w:tc>
      </w:tr>
      <w:tr>
        <w:trPr>
          <w:trHeight w:val="187"/>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r>
      <w:tr>
        <w:trPr>
          <w:trHeight w:val="23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CREDIT FACILITIES</w:t>
      </w:r>
    </w:p>
    <w:p>
      <w:pPr>
        <w:spacing w:after="0" w:line="121"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STRATTEC has a $40 million secured revolving credit facility (the “STRATTEC Credit Facility”) with BMO Harris Bank N.A. ADAC-STRATTEC LLC has a $20 million secured revolving credit facility (the “ADAC-STRATTEC Credit Facility”) with BMO Harris Bank N.A., which is guaranteed by STRATTEC. The ADAC-STRATTEC Credit Facility borrowing limit decreases to $18 million on August 1, 2025. The credit facilities both expire August 1, 2026. Borrowings under either credit facility are secured by our U.S. cash balances, accounts receivable, inventory, and fixed assets located in the U.S. Interest on borrowings under the STRATTEC Credit Facility were at varying rates based, at our option, on the bank's prime rate or SOFR plus 1.35 percent prior to September 5, 2023 and SOFR plus 1.85 percent subsequent to September 5, 2023. Interest on borrowings under the ADAC-STRATTEC Credit Facility were at varying rates based, at our option, on the bank's prime rate with no interest rate margin through May 30, 2024 and a 2 percent interest rate margin subsequent to May 30, 2024 or SOFR plus 1.35 percent prior to May 30, 2024 and SOFR plus 3.10 percent subsequent to May 30, 2024. Both credit facilities contain a restrictive financial covenant that requires the applicable borrower to maintain a minimum net worth level. The ADAC-STRATTEC Credit Facility includes an additional restrictive financial covenant that requires the maintenance of a minimum fixed charge coverage ratio. As of September 29, 2024, we were in compliance with all financial covenants required by these credit facilities.</w:t>
      </w: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Outstanding borrowings under the credit facilities were as follows (in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6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STRATTEC Credit Facility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ADAC-STRATTEC Credit Facility</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32"/>
        </w:trPr>
        <w:tc>
          <w:tcPr>
            <w:tcW w:w="6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type w:val="continuous"/>
        </w:sectPr>
      </w:pPr>
    </w:p>
    <w:bookmarkStart w:id="11" w:name="page12"/>
    <w:bookmarkEnd w:id="11"/>
    <w:p>
      <w:pPr>
        <w:ind w:right="120" w:firstLine="562"/>
        <w:spacing w:after="0" w:line="282" w:lineRule="auto"/>
        <w:rPr>
          <w:sz w:val="20"/>
          <w:szCs w:val="20"/>
          <w:color w:val="auto"/>
        </w:rPr>
      </w:pPr>
      <w:r>
        <w:rPr>
          <w:rFonts w:ascii="Times New Roman" w:cs="Times New Roman" w:eastAsia="Times New Roman" w:hAnsi="Times New Roman"/>
          <w:sz w:val="18"/>
          <w:szCs w:val="18"/>
          <w:color w:val="auto"/>
        </w:rPr>
        <w:t>Average outstanding borrowings and the weighted average interest rate under each credit facility referenced above were as follows for each period presented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Average Outstanding Borrowings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Weighted Average Interest Rate</w:t>
            </w:r>
          </w:p>
        </w:tc>
      </w:tr>
      <w:tr>
        <w:trPr>
          <w:trHeight w:val="131"/>
        </w:trPr>
        <w:tc>
          <w:tcPr>
            <w:tcW w:w="3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341"/>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540" w:type="dxa"/>
            <w:vAlign w:val="bottom"/>
            <w:tcBorders>
              <w:top w:val="single" w:sz="8" w:color="auto"/>
            </w:tcBorders>
          </w:tcPr>
          <w:p>
            <w:pPr>
              <w:jc w:val="right"/>
              <w:ind w:right="379"/>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60" w:type="dxa"/>
            <w:vAlign w:val="bottom"/>
          </w:tcPr>
          <w:p>
            <w:pPr>
              <w:spacing w:after="0"/>
              <w:rPr>
                <w:sz w:val="11"/>
                <w:szCs w:val="11"/>
                <w:color w:val="auto"/>
              </w:rPr>
            </w:pPr>
          </w:p>
        </w:tc>
      </w:tr>
      <w:tr>
        <w:trPr>
          <w:trHeight w:val="187"/>
        </w:trPr>
        <w:tc>
          <w:tcPr>
            <w:tcW w:w="3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5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STRATTEC Credit Facility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ADAC-STRATTEC Credit Facility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21"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We are from time to time subject to various legal actions and claims incidental to our business, including those arising out of alleged defects, alleged breaches of contracts, product warranties, intellectual property matters and employment related matters. It is our opinion that the outcome of such matters will not have a material adverse impact on our consolidated financial position, results of operations or cash flows. With respect to warranty matters, although we cannot ensure that future costs of warranty claims by customers will not be material, we believe our established reserves are adequate to cover potential warranty settlements.</w:t>
      </w:r>
    </w:p>
    <w:p>
      <w:pPr>
        <w:spacing w:after="0" w:line="183"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In 1995, we recorded a provision for estimated costs to remediate an environmental contamination site at our Milwaukee facility. The facility was contaminated by a solvent spill, which occurred in 1985, from a former above ground solvent storage tank located on the east side of the facility. The reserve was originally established based on third party estimates to adequately cover the cost for active remediation of the contamination. Due to changing technology and related costs associated with active remediation of the contamination, in fiscal years 2010, 2016, and 2021, we obtained updated third party estimates of projected costs to adequately cover the cost for active remediation of this contamination and adjusted the reserve as needed. We monitor and evaluate the site with the use of groundwater monitoring wells. An environmental consultant samples these wells one or two times a year to determine the status of the contamination and the potential for remediation of the contamination by natural attenuation, the dissipation of the contamination over time to concentrations below applicable standards. If such sampling evidences a sufficient degree of and trend toward natural attenuation of the contamination at the site, we may be able to obtain a closure letter from the regulatory authorities resolving the issue without the need for active remediation. If a sufficient degree and trend toward natural attenuation is not evidenced by sampling, a more active form of remediation beyond natural attenuation may be required. The sampling has not yet satisfied all of the requirements for closure by natural attenuation. As a result, sampling continues and the reserve remains at an amount to reflect our estimated cost of active remediation. The reserve is not measured on a discounted basis. We believe, based on findings-to-date and known environmental regulations, that the environmental reserve of $1.4 million at September 29, 2024 is adequate.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SHAREHOLDERS' EQUITY</w:t>
      </w:r>
    </w:p>
    <w:p>
      <w:pPr>
        <w:spacing w:after="0" w:line="121" w:lineRule="exact"/>
        <w:rPr>
          <w:sz w:val="20"/>
          <w:szCs w:val="20"/>
          <w:color w:val="auto"/>
        </w:rPr>
      </w:pPr>
    </w:p>
    <w:p>
      <w:pPr>
        <w:ind w:right="80" w:firstLine="569"/>
        <w:spacing w:after="0" w:line="282" w:lineRule="auto"/>
        <w:rPr>
          <w:sz w:val="20"/>
          <w:szCs w:val="20"/>
          <w:color w:val="auto"/>
        </w:rPr>
      </w:pPr>
      <w:r>
        <w:rPr>
          <w:rFonts w:ascii="Times New Roman" w:cs="Times New Roman" w:eastAsia="Times New Roman" w:hAnsi="Times New Roman"/>
          <w:sz w:val="18"/>
          <w:szCs w:val="18"/>
          <w:color w:val="auto"/>
        </w:rPr>
        <w:t>A summary of activity impacting shareholders’ equity for the three-month periods ended September 29, 2024 and October 1, 2023 were as follows (in thousands):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2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right"/>
              <w:ind w:right="619"/>
              <w:spacing w:after="0"/>
              <w:rPr>
                <w:sz w:val="20"/>
                <w:szCs w:val="20"/>
                <w:color w:val="auto"/>
              </w:rPr>
            </w:pPr>
            <w:r>
              <w:rPr>
                <w:rFonts w:ascii="Times New Roman" w:cs="Times New Roman" w:eastAsia="Times New Roman" w:hAnsi="Times New Roman"/>
                <w:sz w:val="13"/>
                <w:szCs w:val="13"/>
                <w:b w:val="1"/>
                <w:bCs w:val="1"/>
                <w:color w:val="auto"/>
              </w:rPr>
              <w:t>Three months ended September 29, 2024</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Capital in</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39"/>
              <w:spacing w:after="0" w:line="133"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39"/>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1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Excess of Par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43"/>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1"/>
                <w:szCs w:val="11"/>
                <w:color w:val="auto"/>
              </w:rPr>
            </w:pPr>
          </w:p>
        </w:tc>
        <w:tc>
          <w:tcPr>
            <w:tcW w:w="1080" w:type="dxa"/>
            <w:vAlign w:val="bottom"/>
            <w:gridSpan w:val="3"/>
          </w:tcPr>
          <w:p>
            <w:pPr>
              <w:jc w:val="center"/>
              <w:ind w:right="139"/>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19"/>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80" w:type="dxa"/>
            <w:vAlign w:val="bottom"/>
            <w:gridSpan w:val="3"/>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w w:val="95"/>
              </w:rPr>
              <w:t>Treasury Stock</w:t>
            </w: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20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225,615</w:t>
            </w:r>
          </w:p>
        </w:tc>
        <w:tc>
          <w:tcPr>
            <w:tcW w:w="220" w:type="dxa"/>
            <w:vAlign w:val="bottom"/>
          </w:tcPr>
          <w:p>
            <w:pPr>
              <w:spacing w:after="0"/>
              <w:rPr>
                <w:sz w:val="17"/>
                <w:szCs w:val="17"/>
                <w:color w:val="auto"/>
              </w:rPr>
            </w:pPr>
          </w:p>
        </w:tc>
        <w:tc>
          <w:tcPr>
            <w:tcW w:w="420" w:type="dxa"/>
            <w:vAlign w:val="bottom"/>
            <w:tcBorders>
              <w:top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101,024</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250,612</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(135,478</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(2,760 )</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(1,671 )</w:t>
            </w:r>
          </w:p>
        </w:tc>
        <w:tc>
          <w:tcPr>
            <w:tcW w:w="180" w:type="dxa"/>
            <w:vAlign w:val="bottom"/>
          </w:tcPr>
          <w:p>
            <w:pPr>
              <w:spacing w:after="0"/>
              <w:rPr>
                <w:sz w:val="19"/>
                <w:szCs w:val="19"/>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(1,089 )</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Pension and postretirement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 net of tax</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 purchases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29, 2024</w:t>
            </w: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227,060</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101,218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254,315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(17,104</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(135,471</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67"/>
        </w:trPr>
        <w:tc>
          <w:tcPr>
            <w:tcW w:w="2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right"/>
              <w:ind w:right="719"/>
              <w:spacing w:after="0"/>
              <w:rPr>
                <w:sz w:val="20"/>
                <w:szCs w:val="20"/>
                <w:color w:val="auto"/>
              </w:rPr>
            </w:pPr>
            <w:r>
              <w:rPr>
                <w:rFonts w:ascii="Times New Roman" w:cs="Times New Roman" w:eastAsia="Times New Roman" w:hAnsi="Times New Roman"/>
                <w:sz w:val="13"/>
                <w:szCs w:val="13"/>
                <w:b w:val="1"/>
                <w:bCs w:val="1"/>
                <w:color w:val="auto"/>
              </w:rPr>
              <w:t>Three months ended October 1, 2023</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Capital in</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39"/>
              <w:spacing w:after="0" w:line="133"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39"/>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1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Excess of Par</w:t>
            </w:r>
          </w:p>
        </w:tc>
        <w:tc>
          <w:tcPr>
            <w:tcW w:w="140" w:type="dxa"/>
            <w:vAlign w:val="bottom"/>
          </w:tcPr>
          <w:p>
            <w:pPr>
              <w:spacing w:after="0"/>
              <w:rPr>
                <w:sz w:val="11"/>
                <w:szCs w:val="11"/>
                <w:color w:val="auto"/>
              </w:rPr>
            </w:pPr>
          </w:p>
        </w:tc>
        <w:tc>
          <w:tcPr>
            <w:tcW w:w="740" w:type="dxa"/>
            <w:vAlign w:val="bottom"/>
          </w:tcPr>
          <w:p>
            <w:pPr>
              <w:jc w:val="right"/>
              <w:ind w:right="143"/>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1"/>
                <w:szCs w:val="11"/>
                <w:color w:val="auto"/>
              </w:rPr>
            </w:pPr>
          </w:p>
        </w:tc>
        <w:tc>
          <w:tcPr>
            <w:tcW w:w="1080" w:type="dxa"/>
            <w:vAlign w:val="bottom"/>
            <w:gridSpan w:val="3"/>
          </w:tcPr>
          <w:p>
            <w:pPr>
              <w:jc w:val="center"/>
              <w:ind w:right="139"/>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4"/>
                <w:szCs w:val="14"/>
                <w:color w:val="auto"/>
              </w:rPr>
            </w:pP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19"/>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80" w:type="dxa"/>
            <w:vAlign w:val="bottom"/>
            <w:gridSpan w:val="3"/>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w w:val="95"/>
              </w:rPr>
              <w:t>Treasury Stock</w:t>
            </w: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Balance, July 2, 2023</w:t>
            </w:r>
          </w:p>
        </w:tc>
        <w:tc>
          <w:tcPr>
            <w:tcW w:w="20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211,024</w:t>
            </w:r>
          </w:p>
        </w:tc>
        <w:tc>
          <w:tcPr>
            <w:tcW w:w="220" w:type="dxa"/>
            <w:vAlign w:val="bottom"/>
          </w:tcPr>
          <w:p>
            <w:pPr>
              <w:spacing w:after="0"/>
              <w:rPr>
                <w:sz w:val="17"/>
                <w:szCs w:val="17"/>
                <w:color w:val="auto"/>
              </w:rPr>
            </w:pPr>
          </w:p>
        </w:tc>
        <w:tc>
          <w:tcPr>
            <w:tcW w:w="420" w:type="dxa"/>
            <w:vAlign w:val="bottom"/>
            <w:tcBorders>
              <w:top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100,309</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234,299</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(14,194</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(135,526</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(649 )</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(379 )</w:t>
            </w:r>
          </w:p>
        </w:tc>
        <w:tc>
          <w:tcPr>
            <w:tcW w:w="180" w:type="dxa"/>
            <w:vAlign w:val="bottom"/>
          </w:tcPr>
          <w:p>
            <w:pPr>
              <w:spacing w:after="0"/>
              <w:rPr>
                <w:sz w:val="19"/>
                <w:szCs w:val="19"/>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SPA non-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controlling interest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(97 )</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Pension and postretirement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 net of tax</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 purchases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Balance, October 1, 2023</w:t>
            </w: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215,301</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100,721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238,464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(14,527</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(135,514</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OTHER INCOME, NET</w:t>
      </w:r>
    </w:p>
    <w:p>
      <w:pPr>
        <w:spacing w:after="0" w:line="121"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Net other income included in the accompanying Condensed Consolidated Statements of Income and Comprehensive Income primarily included foreign currency transaction gains and losses, realized and unrealized gains and losses on our Mexican peso currency forward contracts, the components of net periodic benefit cost other than the service cost component related to our pension and postretirement plans and Rabbi Trust gains and losses. Foreign currency transaction gains and losses resulted from activity associated with foreign denominated assets and liabilities held by our Mexican subsidiaries. The Rabbi Trust assets fund our Amended and Restated Supplemental Executive Retirement Plan. The investments held in the Trust are considered trading securities. We entered into the Mexican peso currency forward contracts to reduce earnings volatility resulting from changes in exchange rates affecting the U.S. dollar cost of our Mexican operations. Unrealized gains and losses on the peso forward contracts recognized as a result of mark-to-market adjustments as of September 29, 2024 may or may not be realized in future periods. Pension and postretirement plan costs include the components of net periodic benefit cost other than the service cost component.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impact of these items for each of the periods presented was as follows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5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40" w:type="dxa"/>
            <w:vAlign w:val="bottom"/>
            <w:gridSpan w:val="2"/>
          </w:tcPr>
          <w:p>
            <w:pPr>
              <w:jc w:val="right"/>
              <w:ind w:right="8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520" w:type="dxa"/>
            <w:vAlign w:val="bottom"/>
          </w:tcPr>
          <w:p>
            <w:pPr>
              <w:spacing w:after="0"/>
              <w:rPr>
                <w:sz w:val="11"/>
                <w:szCs w:val="11"/>
                <w:color w:val="auto"/>
              </w:rPr>
            </w:pPr>
          </w:p>
        </w:tc>
        <w:tc>
          <w:tcPr>
            <w:tcW w:w="1260" w:type="dxa"/>
            <w:vAlign w:val="bottom"/>
          </w:tcPr>
          <w:p>
            <w:pPr>
              <w:jc w:val="right"/>
              <w:ind w:right="496"/>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80" w:type="dxa"/>
            <w:vAlign w:val="bottom"/>
          </w:tcPr>
          <w:p>
            <w:pPr>
              <w:spacing w:after="0"/>
              <w:rPr>
                <w:sz w:val="11"/>
                <w:szCs w:val="11"/>
                <w:color w:val="auto"/>
              </w:rPr>
            </w:pPr>
          </w:p>
        </w:tc>
      </w:tr>
      <w:tr>
        <w:trPr>
          <w:trHeight w:val="187"/>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3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r>
      <w:tr>
        <w:trPr>
          <w:trHeight w:val="22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loss on peso</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contracts, net</w:t>
            </w:r>
          </w:p>
        </w:tc>
        <w:tc>
          <w:tcPr>
            <w:tcW w:w="280" w:type="dxa"/>
            <w:vAlign w:val="bottom"/>
          </w:tcPr>
          <w:p>
            <w:pPr>
              <w:spacing w:after="0"/>
              <w:rPr>
                <w:sz w:val="20"/>
                <w:szCs w:val="20"/>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(735 )</w:t>
            </w:r>
          </w:p>
        </w:tc>
        <w:tc>
          <w:tcPr>
            <w:tcW w:w="5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plans cost</w:t>
            </w:r>
          </w:p>
        </w:tc>
        <w:tc>
          <w:tcPr>
            <w:tcW w:w="280" w:type="dxa"/>
            <w:vAlign w:val="bottom"/>
          </w:tcPr>
          <w:p>
            <w:pPr>
              <w:spacing w:after="0"/>
              <w:rPr>
                <w:sz w:val="21"/>
                <w:szCs w:val="21"/>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(363 )</w:t>
            </w:r>
          </w:p>
        </w:tc>
        <w:tc>
          <w:tcPr>
            <w:tcW w:w="5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Rabbi Trust gain</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2"/>
                <w:szCs w:val="22"/>
                <w:color w:val="auto"/>
              </w:rPr>
            </w:pPr>
          </w:p>
        </w:tc>
      </w:tr>
      <w:tr>
        <w:trPr>
          <w:trHeight w:val="232"/>
        </w:trPr>
        <w:tc>
          <w:tcPr>
            <w:tcW w:w="594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WARRANTY</w:t>
      </w:r>
    </w:p>
    <w:p>
      <w:pPr>
        <w:spacing w:after="0" w:line="121"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We have a warranty reserve recorded on our accompanying Condensed Consolidated Balance Sheets related to our known and potential exposure to warranty claims in the event our products fail to perform as expected and in the event we may be required to participate in the repair costs incurred by our customers for such products. The recorded warranty reserve balance involves judgment and estimates. Our reserve estimate is based on an analysis of historical warranty data as well as current trends and information. As additional information becomes available, actual results may differ from recorded estimates, which may require us to adjust the amount of our warranty provision. Changes in the warranty reserve for the three-month periods ended September 29, 2024 and October 1, 2023 were as follows (in thousands):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5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40" w:type="dxa"/>
            <w:vAlign w:val="bottom"/>
            <w:gridSpan w:val="2"/>
          </w:tcPr>
          <w:p>
            <w:pPr>
              <w:jc w:val="right"/>
              <w:ind w:right="8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520" w:type="dxa"/>
            <w:vAlign w:val="bottom"/>
          </w:tcPr>
          <w:p>
            <w:pPr>
              <w:spacing w:after="0"/>
              <w:rPr>
                <w:sz w:val="11"/>
                <w:szCs w:val="11"/>
                <w:color w:val="auto"/>
              </w:rPr>
            </w:pPr>
          </w:p>
        </w:tc>
        <w:tc>
          <w:tcPr>
            <w:tcW w:w="1260" w:type="dxa"/>
            <w:vAlign w:val="bottom"/>
          </w:tcPr>
          <w:p>
            <w:pPr>
              <w:jc w:val="right"/>
              <w:ind w:right="496"/>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80" w:type="dxa"/>
            <w:vAlign w:val="bottom"/>
          </w:tcPr>
          <w:p>
            <w:pPr>
              <w:spacing w:after="0"/>
              <w:rPr>
                <w:sz w:val="11"/>
                <w:szCs w:val="11"/>
                <w:color w:val="auto"/>
              </w:rPr>
            </w:pPr>
          </w:p>
        </w:tc>
      </w:tr>
      <w:tr>
        <w:trPr>
          <w:trHeight w:val="187"/>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3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80" w:type="dxa"/>
            <w:vAlign w:val="bottom"/>
          </w:tcPr>
          <w:p>
            <w:pPr>
              <w:spacing w:after="0"/>
              <w:rPr>
                <w:sz w:val="19"/>
                <w:szCs w:val="19"/>
                <w:color w:val="auto"/>
              </w:rPr>
            </w:pP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spacing w:after="0"/>
              <w:rPr>
                <w:sz w:val="22"/>
                <w:szCs w:val="22"/>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(384 )</w:t>
            </w:r>
          </w:p>
        </w:tc>
        <w:tc>
          <w:tcPr>
            <w:tcW w:w="52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80" w:type="dxa"/>
            <w:vAlign w:val="bottom"/>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121"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Our effective tax rate was 28.6 percent and 23.7 percent for the three-month periods ended September 29, 2024 and October 1, 2023, respectively. The effective tax rate for the three-month periods ended September 29, 2024 and October 1, 2023 were impacted by the foreign tax rate differential. The effective tax rate for the three-month period ended September 29, 2024 was also impacted by a limitation on the utilization of our foreign tax credits and non-deductible items, which impacts also causes the effective tax rate to differ from the statutory tax rate.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EARNINGS PER SHARE</w:t>
      </w:r>
    </w:p>
    <w:p>
      <w:pPr>
        <w:spacing w:after="0" w:line="121" w:lineRule="exact"/>
        <w:rPr>
          <w:sz w:val="20"/>
          <w:szCs w:val="20"/>
          <w:color w:val="auto"/>
        </w:rPr>
      </w:pPr>
    </w:p>
    <w:p>
      <w:pPr>
        <w:ind w:right="60" w:firstLine="569"/>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on the basis of the weighted average number of shares of common stock outstanding during the applicable period. Diluted earnings per share is computed on the basis of the weighted average number of shares of common stock plus the potential dilutive common shares outstanding during the applicable period using the treasury stock method. Potential dilutive common shares include outstanding stock options and unvested restricted stock awards.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components of the basic and diluted per-share computations follows (in thousands, except per share amounts):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21"/>
              <w:spacing w:after="0" w:line="131" w:lineRule="exact"/>
              <w:rPr>
                <w:sz w:val="20"/>
                <w:szCs w:val="20"/>
                <w:color w:val="auto"/>
              </w:rPr>
            </w:pPr>
            <w:r>
              <w:rPr>
                <w:rFonts w:ascii="Times New Roman" w:cs="Times New Roman" w:eastAsia="Times New Roman" w:hAnsi="Times New Roman"/>
                <w:sz w:val="14"/>
                <w:szCs w:val="14"/>
                <w:b w:val="1"/>
                <w:bCs w:val="1"/>
                <w:color w:val="auto"/>
              </w:rPr>
              <w:t>Per-Share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8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19"/>
              <w:spacing w:after="0" w:line="131" w:lineRule="exact"/>
              <w:rPr>
                <w:sz w:val="20"/>
                <w:szCs w:val="20"/>
                <w:color w:val="auto"/>
              </w:rPr>
            </w:pPr>
            <w:r>
              <w:rPr>
                <w:rFonts w:ascii="Times New Roman" w:cs="Times New Roman" w:eastAsia="Times New Roman" w:hAnsi="Times New Roman"/>
                <w:sz w:val="14"/>
                <w:szCs w:val="14"/>
                <w:b w:val="1"/>
                <w:bCs w:val="1"/>
                <w:color w:val="auto"/>
                <w:w w:val="98"/>
              </w:rPr>
              <w:t>Per-Share</w:t>
            </w: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 option and restricted</w:t>
            </w:r>
          </w:p>
        </w:tc>
        <w:tc>
          <w:tcPr>
            <w:tcW w:w="10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awards</w:t>
            </w:r>
          </w:p>
        </w:tc>
        <w:tc>
          <w:tcPr>
            <w:tcW w:w="1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2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8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60" w:firstLine="562"/>
        <w:spacing w:after="0" w:line="282" w:lineRule="auto"/>
        <w:rPr>
          <w:sz w:val="20"/>
          <w:szCs w:val="20"/>
          <w:color w:val="auto"/>
        </w:rPr>
      </w:pPr>
      <w:r>
        <w:rPr>
          <w:rFonts w:ascii="Times New Roman" w:cs="Times New Roman" w:eastAsia="Times New Roman" w:hAnsi="Times New Roman"/>
          <w:sz w:val="18"/>
          <w:szCs w:val="18"/>
          <w:color w:val="auto"/>
        </w:rPr>
        <w:t>No share-based payment awards were excluded from the calculation of earnings per share as of September 29, 2024. The calculation of earnings per share excluded 51,970 share-based payment awards as of October 1, 2023 because their inclusion would have been anti-dilutive.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STOCK-BASED COMPENSATION</w:t>
      </w:r>
    </w:p>
    <w:p>
      <w:pPr>
        <w:spacing w:after="0" w:line="121"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We maintain an omnibus stock incentive plan. This plan provides for the granting of stock options, shares of restricted stock and stock appreciation rights. As of September 29, 2024, the Board of Directors had designated 2,250,000 shares of common stock available for the grant of awards under the plan. Remaining shares available to be granted under the plan as of September 29, 2024 were 336,730. Awards that expire or are canceled without delivery of shares become available for re-issuance under the plan. We issue new shares of common stock to satisfy stock option exercises.</w:t>
      </w:r>
    </w:p>
    <w:p>
      <w:pPr>
        <w:spacing w:after="0" w:line="180"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Nonqualified and incentive stock options and shares of restricted stock have been granted to our officers, outside directors and specified associates under our stock incentive plan. No stock options are outstanding under the plan as of September 29, 2024. Shares of restricted stock granted under the plan are subject to vesting criteria determined by the Compensation Committee at the time the shares are granted and have a minimum vesting period of one year from the date of grant. Unvested restricted shares granted have voting rights, regardless of whether the shares are vested or unvested, but only have the right to receive cash dividends after such shares become vested. Restricted stock grants vest 1 to 3 years after the date of grant as determined by the Compensation Committee.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stock option activity under our stock incentive plan for the three-month period ended September 29, 2024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9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67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(8,070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0" w:type="dxa"/>
            <w:vAlign w:val="bottom"/>
          </w:tcPr>
          <w:p>
            <w:pPr>
              <w:spacing w:after="0"/>
              <w:rPr>
                <w:sz w:val="1"/>
                <w:szCs w:val="1"/>
                <w:color w:val="auto"/>
              </w:rPr>
            </w:pPr>
          </w:p>
        </w:tc>
      </w:tr>
      <w:tr>
        <w:trPr>
          <w:trHeight w:val="23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29, 2024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4" w:name="page15"/>
    <w:bookmarkEnd w:id="14"/>
    <w:p>
      <w:pPr>
        <w:ind w:left="560"/>
        <w:spacing w:after="0"/>
        <w:rPr>
          <w:sz w:val="20"/>
          <w:szCs w:val="20"/>
          <w:color w:val="auto"/>
        </w:rPr>
      </w:pPr>
      <w:r>
        <w:rPr>
          <w:rFonts w:ascii="Times New Roman" w:cs="Times New Roman" w:eastAsia="Times New Roman" w:hAnsi="Times New Roman"/>
          <w:sz w:val="18"/>
          <w:szCs w:val="18"/>
          <w:color w:val="auto"/>
        </w:rPr>
        <w:t>A summary of restricted stock activity under our stock incentive plan for the three-month period ended September 29, 2024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68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Nonvested Balance, June 30, 2024</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79,325</w:t>
            </w:r>
          </w:p>
        </w:tc>
        <w:tc>
          <w:tcPr>
            <w:tcW w:w="3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line="20" w:lineRule="exact"/>
              <w:rPr>
                <w:sz w:val="1"/>
                <w:szCs w:val="1"/>
                <w:color w:val="auto"/>
              </w:rPr>
            </w:pPr>
          </w:p>
        </w:tc>
      </w:tr>
      <w:tr>
        <w:trPr>
          <w:trHeight w:val="215"/>
        </w:trPr>
        <w:tc>
          <w:tcPr>
            <w:tcW w:w="5980" w:type="dxa"/>
            <w:vAlign w:val="bottom"/>
            <w:vMerge w:val="continue"/>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34,800</w:t>
            </w:r>
          </w:p>
        </w:tc>
        <w:tc>
          <w:tcPr>
            <w:tcW w:w="3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(37,200 )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Nonvested Balance, September 29, 2024</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74,550</w:t>
            </w:r>
          </w:p>
        </w:tc>
        <w:tc>
          <w:tcPr>
            <w:tcW w:w="3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As of September 29, 2024, there was approximately $1.7 million of total unrecognized compensation cost related to unvested restricted stock grants outstanding under the plan. This cost is expected to be recognized over a remaining weighted average period of 1.2 years. Total unrecognized compensation cost will be adjusted for any future changes in estimated and actual forfeitures of awards granted under our omnibus stock incentive plan.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PENSION AND POSTRETIREMENT BENEFITS</w:t>
      </w:r>
    </w:p>
    <w:p>
      <w:pPr>
        <w:spacing w:after="0" w:line="121"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We have a noncontributory Supplemental Executive Retirement Plan (“SERP”), which is a nonqualified defined benefit plan. The SERP is funded through a Rabbi Trust with TMI Trust Company. Under the SERP, as amended December 31, 2013, participants received an accrued lump-sum benefit as of December 31, 2013, which was credited to each participant’s account. Subsequent to December 31, 2013, each eligible participant receives a supplemental retirement benefit equal to the foregoing lump sum benefit, plus an annual benefit accrual equal to 8 percent of the participant’s base salary and cash bonus, plus annual credited interest on the participant’s account balance. All then current participants as of December 31, 2013 are fully vested in their account balances with any new individuals participating in the SERP effective on or after January 1, 2014 being subject to a five year vesting period. The SERP, which is considered a nonqualified defined benefit plan under applicable rules and regulations of the Internal Revenue Code, will continue to be funded through use of a Rabbi Trust to hold investment assets to be used in part to fund any future required lump sum benefit payments to participants. During the quarter ended September 29, 2024, SERP benefits of $1.2 million were cash settled. We incurred a related pre-tax settlement charge of $283,000 due to the requirement to expense a portion of the unrealized actuarial losses associated with the settlement. The Rabbi Trust assets had a value of $1.7 million at September 29, 2024 and $1.6 million at June 30, 2024. The Rabbi Trust asset balance is included in Other Long-Term Assets in the accompanying Condensed Consolidated Balance Sheets.</w:t>
      </w:r>
    </w:p>
    <w:p>
      <w:pPr>
        <w:spacing w:after="0" w:line="190" w:lineRule="exact"/>
        <w:rPr>
          <w:sz w:val="20"/>
          <w:szCs w:val="20"/>
          <w:color w:val="auto"/>
        </w:rPr>
      </w:pPr>
    </w:p>
    <w:p>
      <w:pPr>
        <w:ind w:right="40" w:firstLine="562"/>
        <w:spacing w:after="0" w:line="256" w:lineRule="auto"/>
        <w:rPr>
          <w:sz w:val="20"/>
          <w:szCs w:val="20"/>
          <w:color w:val="auto"/>
        </w:rPr>
      </w:pPr>
      <w:r>
        <w:rPr>
          <w:rFonts w:ascii="Times New Roman" w:cs="Times New Roman" w:eastAsia="Times New Roman" w:hAnsi="Times New Roman"/>
          <w:sz w:val="18"/>
          <w:szCs w:val="18"/>
          <w:color w:val="auto"/>
        </w:rPr>
        <w:t>We also sponsor a postretirement health care plan for all current and future eligible U.S. retirees hired prior to June 1, 2001. The expected cost of retiree health care benefits is recognized during the years the associates who are covered under the plan render service. Effective January 1, 2010, an amendment to the postretirement health care plan limited the benefit for future eligible retirees to $4,000 per plan year and the benefit is further subject to a maximum five-year coverage period based on the associate’s retirement date and age. The postretirement health care plan is unfunded. Additionally, we sponsor a postretirement life plan for all U.S. salaried retirees who retired prior to October 1, 2001 and all U.S. hourly retirees who were hired prior to June 27, 2005 and retired prior to January 1, 2010. The benefit provides for a death benefit of $8,000. The postretirement life plan is unfunded.</w:t>
      </w:r>
    </w:p>
    <w:p>
      <w:pPr>
        <w:spacing w:after="0" w:line="187" w:lineRule="exact"/>
        <w:rPr>
          <w:sz w:val="20"/>
          <w:szCs w:val="20"/>
          <w:color w:val="auto"/>
        </w:rPr>
      </w:pPr>
    </w:p>
    <w:p>
      <w:pPr>
        <w:ind w:right="260" w:firstLine="569"/>
        <w:spacing w:after="0" w:line="266" w:lineRule="auto"/>
        <w:rPr>
          <w:sz w:val="20"/>
          <w:szCs w:val="20"/>
          <w:color w:val="auto"/>
        </w:rPr>
      </w:pPr>
      <w:r>
        <w:rPr>
          <w:rFonts w:ascii="Times New Roman" w:cs="Times New Roman" w:eastAsia="Times New Roman" w:hAnsi="Times New Roman"/>
          <w:sz w:val="18"/>
          <w:szCs w:val="18"/>
          <w:color w:val="auto"/>
        </w:rPr>
        <w:t>The service cost component of the net periodic benefit costs under these plans is allocated between Cost of Goods Sold and Engineering, Selling and Administrative Expenses while the remaining components of the net periodic benefit costs are included in Other Income, net in the accompanying Condensed Consolidated Statements of Income and Comprehensive Income.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tables summarize the net periodic benefit cost recognized for each of the periods indicated under these plans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SERP Benefits</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69"/>
        </w:trPr>
        <w:tc>
          <w:tcPr>
            <w:tcW w:w="498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4980" w:type="dxa"/>
            <w:vAlign w:val="bottom"/>
          </w:tcPr>
          <w:p>
            <w:pPr>
              <w:spacing w:after="0"/>
              <w:rPr>
                <w:sz w:val="11"/>
                <w:szCs w:val="11"/>
                <w:color w:val="auto"/>
              </w:rPr>
            </w:pPr>
          </w:p>
        </w:tc>
        <w:tc>
          <w:tcPr>
            <w:tcW w:w="1100" w:type="dxa"/>
            <w:vAlign w:val="bottom"/>
            <w:gridSpan w:val="2"/>
          </w:tcPr>
          <w:p>
            <w:pPr>
              <w:jc w:val="right"/>
              <w:ind w:right="33"/>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6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r>
      <w:tr>
        <w:trPr>
          <w:trHeight w:val="187"/>
        </w:trPr>
        <w:tc>
          <w:tcPr>
            <w:tcW w:w="49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1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740" w:type="dxa"/>
            <w:vAlign w:val="bottom"/>
            <w:tcBorders>
              <w:top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7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Plan Settlements</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net loss</w:t>
            </w:r>
          </w:p>
        </w:tc>
        <w:tc>
          <w:tcPr>
            <w:tcW w:w="7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20"/>
                <w:szCs w:val="20"/>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4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21. ACCUMULATED OTER COMPREHENSIVE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the changes in accumulated other comprehensive loss (“AOCL”) for each period presented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29, 2024</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330"/>
              <w:spacing w:after="0" w:line="131"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420" w:type="dxa"/>
            <w:vAlign w:val="bottom"/>
          </w:tcPr>
          <w:p>
            <w:pPr>
              <w:spacing w:after="0"/>
              <w:rPr>
                <w:sz w:val="12"/>
                <w:szCs w:val="12"/>
                <w:color w:val="auto"/>
              </w:rPr>
            </w:pPr>
          </w:p>
        </w:tc>
        <w:tc>
          <w:tcPr>
            <w:tcW w:w="7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4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6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0" w:type="dxa"/>
            <w:vAlign w:val="bottom"/>
          </w:tcPr>
          <w:p>
            <w:pPr>
              <w:spacing w:after="0"/>
              <w:rPr>
                <w:sz w:val="1"/>
                <w:szCs w:val="1"/>
                <w:color w:val="auto"/>
              </w:rPr>
            </w:pPr>
          </w:p>
        </w:tc>
      </w:tr>
      <w:tr>
        <w:trPr>
          <w:trHeight w:val="238"/>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(283 )</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56"/>
        </w:trPr>
        <w:tc>
          <w:tcPr>
            <w:tcW w:w="5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8"/>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other comprehensive loss before reclassifications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38"/>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0940"/>
          </w:cols>
          <w:pgMar w:left="320" w:top="981" w:right="639" w:bottom="1440" w:gutter="0" w:footer="0" w:header="0"/>
        </w:sectPr>
      </w:pPr>
    </w:p>
    <w:p>
      <w:pPr>
        <w:ind w:left="940"/>
        <w:spacing w:after="0"/>
        <w:rPr>
          <w:sz w:val="20"/>
          <w:szCs w:val="20"/>
          <w:color w:val="auto"/>
        </w:rPr>
      </w:pPr>
      <w:r>
        <w:rPr>
          <w:rFonts w:ascii="Times New Roman" w:cs="Times New Roman" w:eastAsia="Times New Roman" w:hAnsi="Times New Roman"/>
          <w:sz w:val="18"/>
          <w:szCs w:val="18"/>
          <w:color w:val="auto"/>
        </w:rPr>
        <w:t>Unrecognized net loss (A)</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Income tax</w:t>
      </w:r>
    </w:p>
    <w:p>
      <w:pPr>
        <w:spacing w:after="0" w:line="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Net reclassifications</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36" w:lineRule="exact"/>
        <w:rPr>
          <w:sz w:val="20"/>
          <w:szCs w:val="20"/>
          <w:color w:val="auto"/>
        </w:rPr>
      </w:pPr>
    </w:p>
    <w:p>
      <w:pPr>
        <w:ind w:left="900" w:right="1680" w:hanging="134"/>
        <w:spacing w:after="0" w:line="282" w:lineRule="auto"/>
        <w:rPr>
          <w:sz w:val="20"/>
          <w:szCs w:val="20"/>
          <w:color w:val="auto"/>
        </w:rPr>
      </w:pPr>
      <w:r>
        <w:rPr>
          <w:rFonts w:ascii="Times New Roman" w:cs="Times New Roman" w:eastAsia="Times New Roman" w:hAnsi="Times New Roman"/>
          <w:sz w:val="18"/>
          <w:szCs w:val="18"/>
          <w:color w:val="auto"/>
        </w:rPr>
        <w:t>Other comprehensive loss attributable to non-controlling interest</w:t>
      </w:r>
    </w:p>
    <w:p>
      <w:pPr>
        <w:spacing w:after="0" w:line="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September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July 2, 2023</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p>
      <w:pPr>
        <w:spacing w:after="0" w:line="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Net other comprehensive loss before reclassifications</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Reclassifications: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(46 )</w:t>
            </w:r>
          </w:p>
        </w:tc>
        <w:tc>
          <w:tcPr>
            <w:tcW w:w="3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Three Months Ended October 1, 2023</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06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330"/>
              <w:spacing w:after="0" w:line="131"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0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0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60" w:type="dxa"/>
            <w:vAlign w:val="bottom"/>
          </w:tcPr>
          <w:p>
            <w:pPr>
              <w:spacing w:after="0"/>
              <w:rPr>
                <w:sz w:val="12"/>
                <w:szCs w:val="12"/>
                <w:color w:val="auto"/>
              </w:rPr>
            </w:pPr>
          </w:p>
        </w:tc>
        <w:tc>
          <w:tcPr>
            <w:tcW w:w="90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10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3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6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ectPr>
          <w:pgSz w:w="11900" w:h="16838" w:orient="portrait"/>
          <w:cols w:equalWidth="0" w:num="2">
            <w:col w:w="5740" w:space="720"/>
            <w:col w:w="4480"/>
          </w:cols>
          <w:pgMar w:left="320" w:top="981" w:right="639" w:bottom="1440" w:gutter="0" w:footer="0" w:header="0"/>
          <w:type w:val="continuous"/>
        </w:sectPr>
      </w:pPr>
    </w:p>
    <w:tbl>
      <w:tblPr>
        <w:tblLayout w:type="fixed"/>
        <w:tblInd w:w="580" w:type="dxa"/>
        <w:tblCellMar>
          <w:top w:w="0" w:type="dxa"/>
          <w:left w:w="0" w:type="dxa"/>
          <w:bottom w:w="0" w:type="dxa"/>
          <w:right w:w="0" w:type="dxa"/>
        </w:tblCellMar>
      </w:tblPr>
      <w:tr>
        <w:trPr>
          <w:trHeight w:val="234"/>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Unrecognized net loss (A)</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(60 )</w:t>
            </w:r>
          </w:p>
        </w:tc>
        <w:tc>
          <w:tcPr>
            <w:tcW w:w="3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56"/>
        </w:trPr>
        <w:tc>
          <w:tcPr>
            <w:tcW w:w="5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reclassifications</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8"/>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attributable to non-</w:t>
            </w:r>
          </w:p>
        </w:tc>
        <w:tc>
          <w:tcPr>
            <w:tcW w:w="40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controlling interest</w:t>
            </w:r>
          </w:p>
        </w:tc>
        <w:tc>
          <w:tcPr>
            <w:tcW w:w="4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Balance, October 1, 2023</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2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56" w:lineRule="auto"/>
        <w:tabs>
          <w:tab w:leader="none" w:pos="4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are included in the computation of net periodic benefit cost, which is included in Other Income, net in the accompanying Condensed Consolidated Statements of Income and Comprehensive Income. See Pension and Postretirement Benefits note to these Notes to Condensed Consolidated Financial Statements above.</w:t>
      </w:r>
    </w:p>
    <w:p>
      <w:pPr>
        <w:spacing w:after="0" w:line="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1" w:right="6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Item 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MANAGEMENT’S DISCUSSION AND ANALYSIS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 FINANCIAL CONDITION AND RESULTS OF OPERATIONS</w:t>
      </w:r>
    </w:p>
    <w:p>
      <w:pPr>
        <w:spacing w:after="0" w:line="207" w:lineRule="exact"/>
        <w:rPr>
          <w:sz w:val="20"/>
          <w:szCs w:val="20"/>
          <w:color w:val="auto"/>
        </w:rPr>
      </w:pPr>
    </w:p>
    <w:p>
      <w:pPr>
        <w:ind w:right="20" w:firstLine="562"/>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STRATTEC SECURITY CORPORATION’s accompanying Condensed Consolidated Financial Statements and Notes thereto and its Annual Report. Also, refer to discussion of prior period corrections under Basis of Financial Statements included in the Notes to Condensed Consolidated Financial Statements in this Form 10-Q. Unless otherwise indicated, all references to quarters and years refer to fiscal quarters and fiscal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162"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With a history spanning over 110 years, STRATTEC has consistently been at the forefront of innovation in vehicle security, transitioning from mechanical to integrated electro-mechanical systems. Our largest customers are three leading automotive OEMs in North America, but we also provide products to most other OEMs around the world. Our offering is comprised of products primarily related to vehicle and power access, security and authorization and select user interface controls. Vehicle and power access solutions include power sliding doors, tailgates and lift gate systems, as well as power deck lid systems. We also design and manufacture highly-engineered latches and door handles. Security and authorization products are comprised of mechanical and electronically enhanced locks and keys, fobs, passive entry passive start systems (PEPS), steering column and instrument panel ignition lock housings and related solutions. We established our leading market position within North American automotive customers initially with our legacy mechanical locks and keys. We built upon that reputation with our engineering expertise in security and vehicle access, our flexible and responsive service and our deep relationships with our customers.</w:t>
      </w:r>
    </w:p>
    <w:p>
      <w:pPr>
        <w:spacing w:after="0" w:line="188"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Under new leadership since July 1, 2024, with the appointment of Jennifer L. Slater as CEO, STRATTEC is at the beginning stages of identifying the future path of its product portfolio, determining the optimal operating and cost structure and developing a strategy to strengthen profitability and drive sustainability. Through fiscal 2025 and beyond, we expect to modernize our operations with upgraded information systems, simplify our product portfolio, optimize our operating footprint, capitalize on our leading market positions and strong customer relationships and leverage our engineering expertise to drive innovative, sticky solutions to increase market penetration.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the quarter ended September 29, 2024 (first quarter fiscal 2025)</w:t>
      </w:r>
    </w:p>
    <w:p>
      <w:pPr>
        <w:spacing w:after="0" w:line="227" w:lineRule="exact"/>
        <w:rPr>
          <w:sz w:val="20"/>
          <w:szCs w:val="20"/>
          <w:color w:val="auto"/>
        </w:rPr>
      </w:pPr>
    </w:p>
    <w:p>
      <w:pPr>
        <w:ind w:right="60" w:firstLine="562"/>
        <w:spacing w:after="0" w:line="254" w:lineRule="auto"/>
        <w:rPr>
          <w:sz w:val="20"/>
          <w:szCs w:val="20"/>
          <w:color w:val="auto"/>
        </w:rPr>
      </w:pPr>
      <w:r>
        <w:rPr>
          <w:rFonts w:ascii="Times New Roman" w:cs="Times New Roman" w:eastAsia="Times New Roman" w:hAnsi="Times New Roman"/>
          <w:sz w:val="18"/>
          <w:szCs w:val="18"/>
          <w:color w:val="auto"/>
        </w:rPr>
        <w:t>Our first quarter financial results are best understood by also recognizing that the first quarter of fiscal 2024 included some one-time benefits. Net sales of $139.1 million were up year-over-year by $3.7 million, or 2.7%. However, last year’s first quarter had benefited from $8.0 million in one-time customer pricing effects. Excluding that impact, underlying sales for the first quarter of fiscal 2025 would have increased by $11.6 million, or 9.1%. The increase included approximately $2.2 million that was associated with higher ongoing customer pricing captured after the first quarter of fiscal 2024. The remaining underlying sales growth was primarily driven by higher volume of Hyundai / Kia vehicle models that contain our power doors and latches as well as increased sales to Ford for new latch and multi-tailgate access content. These improvements helped to offset a large decline in sales to Stellantis, which reflected a combination of lower program vehicle production, expired programs, and reduced content on certain programs as well as some of the one-time pricing comparator.</w:t>
      </w:r>
    </w:p>
    <w:p>
      <w:pPr>
        <w:spacing w:after="0" w:line="192" w:lineRule="exact"/>
        <w:rPr>
          <w:sz w:val="20"/>
          <w:szCs w:val="20"/>
          <w:color w:val="auto"/>
        </w:rPr>
      </w:pPr>
    </w:p>
    <w:p>
      <w:pPr>
        <w:ind w:right="60" w:firstLine="562"/>
        <w:spacing w:after="0" w:line="261" w:lineRule="auto"/>
        <w:rPr>
          <w:sz w:val="20"/>
          <w:szCs w:val="20"/>
          <w:color w:val="auto"/>
        </w:rPr>
      </w:pPr>
      <w:r>
        <w:rPr>
          <w:rFonts w:ascii="Times New Roman" w:cs="Times New Roman" w:eastAsia="Times New Roman" w:hAnsi="Times New Roman"/>
          <w:sz w:val="18"/>
          <w:szCs w:val="18"/>
          <w:color w:val="auto"/>
        </w:rPr>
        <w:t>The one-time pricing in last year’s first quarter also flowed through to gross profit. Gross profit in the current quarter of $18.9 million was relatively unchanged to prior year, however, last year’s first quarter had a $7.1 million benefit of the flow through of the one-time pricing impact after factoring for $900,000 of one-time higher prices paid to suppliers. Gross profit margin for the first quarter fiscal 2025 was 13.6% compared with 13.8% in the prior-year period. The impact of the one-time pricing benefit was 470 basis points in last year’s first quarter.</w:t>
      </w:r>
    </w:p>
    <w:p>
      <w:pPr>
        <w:spacing w:after="0" w:line="180" w:lineRule="exact"/>
        <w:rPr>
          <w:sz w:val="20"/>
          <w:szCs w:val="20"/>
          <w:color w:val="auto"/>
        </w:rPr>
      </w:pPr>
    </w:p>
    <w:p>
      <w:pPr>
        <w:ind w:right="120" w:firstLine="562"/>
        <w:spacing w:after="0" w:line="256" w:lineRule="auto"/>
        <w:rPr>
          <w:sz w:val="20"/>
          <w:szCs w:val="20"/>
          <w:color w:val="auto"/>
        </w:rPr>
      </w:pPr>
      <w:r>
        <w:rPr>
          <w:rFonts w:ascii="Times New Roman" w:cs="Times New Roman" w:eastAsia="Times New Roman" w:hAnsi="Times New Roman"/>
          <w:sz w:val="18"/>
          <w:szCs w:val="18"/>
          <w:color w:val="auto"/>
        </w:rPr>
        <w:t>Net income for the quarter was $3.7 million, down $462,000 compared with the prior-year period. We are focused on improving profitability and reducing working capital requirements. Total cash increased by $9.0 million to $34.4 million at September 29, 2024 compared with June 30, 2024. Pre-production costs, which includes customer tooling, decreased $6.9 million as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7" w:name="page18"/>
    <w:bookmarkEnd w:id="17"/>
    <w:p>
      <w:pPr>
        <w:ind w:right="340"/>
        <w:spacing w:after="0" w:line="282" w:lineRule="auto"/>
        <w:rPr>
          <w:sz w:val="20"/>
          <w:szCs w:val="20"/>
          <w:color w:val="auto"/>
        </w:rPr>
      </w:pPr>
      <w:r>
        <w:rPr>
          <w:rFonts w:ascii="Times New Roman" w:cs="Times New Roman" w:eastAsia="Times New Roman" w:hAnsi="Times New Roman"/>
          <w:sz w:val="18"/>
          <w:szCs w:val="18"/>
          <w:color w:val="auto"/>
        </w:rPr>
        <w:t>tooling associated with customer launches in the latter half of fiscal 2024 were approved and billed in the quarter. This was somewhat offset by higher inventory.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Market Conditions</w:t>
      </w:r>
    </w:p>
    <w:p>
      <w:pPr>
        <w:spacing w:after="0" w:line="227"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We serve the automotive industry, primarily in North America. Approximately 63% of our sales in the first quarter of fiscal 2025 were to the three large automobile manufacturers in the U.S. The automotive industry can be cyclical based on economic conditions, especially as it impacts consumers. As a result, demand for our products are influenced by industry conditions. In addition to our interactions with our customers, we monitor monthly forecasts provided by S&amp;P Global. While they are forecasting that North American light vehicle production will grow modestly between 2024 and 2028, the near-term monthly trends have been softening. In fact, S&amp;P Global’s light vehicle production forecasts for our fiscal period have declined 4.5% in its October 2024 report from its July 2024 report, and a similar softening is forecasted cumulatively with our largest three customers.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work to overcome production declines by getting product on new platforms and increasing content on next versions of existing platforms.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guarantee however that these efforts can be sufficient to overcome overall lower production rates.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29, 2024 (first quarter fiscal 2025) compared with the three months ended October 1, 2023 (first quarter fiscal 2024)</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sales to each of our customers or customer groups in the current year quarter and prior year quarter were as follows (in millions):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1"/>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45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860" w:type="dxa"/>
            <w:vAlign w:val="bottom"/>
          </w:tcPr>
          <w:p>
            <w:pPr>
              <w:jc w:val="right"/>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1"/>
                <w:szCs w:val="11"/>
                <w:color w:val="auto"/>
              </w:rPr>
            </w:pPr>
          </w:p>
        </w:tc>
      </w:tr>
      <w:tr>
        <w:trPr>
          <w:trHeight w:val="187"/>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20"/>
                <w:szCs w:val="20"/>
                <w:color w:val="auto"/>
              </w:rPr>
            </w:pP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Stellantis</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(14.5 )</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(53.1 )</w:t>
            </w: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Tier 1 Customers</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21"/>
                <w:szCs w:val="21"/>
                <w:color w:val="auto"/>
              </w:rPr>
            </w:pP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Other OEM Customers</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21"/>
                <w:szCs w:val="21"/>
                <w:color w:val="auto"/>
              </w:rPr>
            </w:pPr>
          </w:p>
        </w:tc>
      </w:tr>
      <w:tr>
        <w:trPr>
          <w:trHeight w:val="25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Hyundai / Kia</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tcPr>
          <w:p>
            <w:pPr>
              <w:spacing w:after="0"/>
              <w:rPr>
                <w:sz w:val="22"/>
                <w:szCs w:val="22"/>
                <w:color w:val="auto"/>
              </w:rPr>
            </w:pPr>
          </w:p>
        </w:tc>
      </w:tr>
      <w:tr>
        <w:trPr>
          <w:trHeight w:val="236"/>
        </w:trPr>
        <w:tc>
          <w:tcPr>
            <w:tcW w:w="4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0"/>
        </w:trPr>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62"/>
        <w:spacing w:after="0" w:line="261" w:lineRule="auto"/>
        <w:rPr>
          <w:sz w:val="20"/>
          <w:szCs w:val="20"/>
          <w:color w:val="auto"/>
        </w:rPr>
      </w:pPr>
      <w:r>
        <w:rPr>
          <w:rFonts w:ascii="Times New Roman" w:cs="Times New Roman" w:eastAsia="Times New Roman" w:hAnsi="Times New Roman"/>
          <w:sz w:val="18"/>
          <w:szCs w:val="18"/>
          <w:color w:val="auto"/>
        </w:rPr>
        <w:t>Quarter-over-quarter sales increased $3.7 million. The prior year quarter included $8.0 million of one-time retroactive price increases, which were agreed to during the quarter for parts shipped in our fiscal year ended June 30, 2023. The current year quarter included $2.2 million of on-going price increases agreed to subsequent to the prior year quarter for parts supplied in the current quarter. In addition to net pricing changes, the following items specifically impacted sales to the noted customer groups between quarters including the net price changes:</w:t>
      </w:r>
    </w:p>
    <w:p>
      <w:pPr>
        <w:spacing w:after="0" w:line="180" w:lineRule="exact"/>
        <w:rPr>
          <w:sz w:val="20"/>
          <w:szCs w:val="20"/>
          <w:color w:val="auto"/>
        </w:rPr>
      </w:pPr>
    </w:p>
    <w:p>
      <w:pPr>
        <w:ind w:left="940" w:right="80" w:hanging="506"/>
        <w:spacing w:after="0" w:line="261"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General Motors Company increased primarily due to new door handle volume for the Equinox EV, which impact was partially offset by several lockset supply programs ending.</w:t>
      </w:r>
    </w:p>
    <w:p>
      <w:pPr>
        <w:ind w:left="940" w:hanging="506"/>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Ford Motor Company grew mostly due to new tailgate latch content supplied on the Ford F-Series Pickups.</w:t>
      </w:r>
    </w:p>
    <w:p>
      <w:pPr>
        <w:spacing w:after="0" w:line="9" w:lineRule="exact"/>
        <w:rPr>
          <w:rFonts w:ascii="Times New Roman" w:cs="Times New Roman" w:eastAsia="Times New Roman" w:hAnsi="Times New Roman"/>
          <w:sz w:val="18"/>
          <w:szCs w:val="18"/>
          <w:color w:val="auto"/>
        </w:rPr>
      </w:pPr>
    </w:p>
    <w:p>
      <w:pPr>
        <w:ind w:left="940" w:right="240" w:hanging="506"/>
        <w:spacing w:after="0" w:line="250"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Tier 1 Customers increased primarily due to increased volume of door hardware content that ultimately is supplied for the F-Series Super Duty Pickup as well as for the Stellantis Wagoneer, a new program.</w:t>
      </w:r>
    </w:p>
    <w:p>
      <w:pPr>
        <w:ind w:left="940" w:right="200" w:hanging="506"/>
        <w:spacing w:after="0" w:line="250"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Commercial and Other OEM Customers, which are comprised of aftermarket products and vehicle access control products, such as latches, fobs, driver controls and door handles, increased primarily due to new business awarded by Aston Martin and a leading EV OEM.</w:t>
      </w:r>
    </w:p>
    <w:p>
      <w:pPr>
        <w:ind w:left="940" w:right="40" w:hanging="506"/>
        <w:spacing w:after="0" w:line="250"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Hyundai / Kia grew primarily due to higher demand for power door products required to meet an overall increase in customer vehicle production build timing.</w:t>
      </w:r>
    </w:p>
    <w:p>
      <w:pPr>
        <w:ind w:left="940" w:right="60" w:hanging="506"/>
        <w:spacing w:after="0" w:line="260"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Stellantis declined primarily due to the combination of lower vehicle production volumes of the Dodge Ram Pickup, Pacifica and the end of several passenger car programs. We also had reduced content on the Dodge Ram Pickup.</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8" w:name="page19"/>
    <w:bookmarkEnd w:id="18"/>
    <w:tbl>
      <w:tblPr>
        <w:tblLayout w:type="fixed"/>
        <w:tblInd w:w="114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92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October 1, 2023</w:t>
            </w:r>
          </w:p>
        </w:tc>
        <w:tc>
          <w:tcPr>
            <w:tcW w:w="160" w:type="dxa"/>
            <w:vAlign w:val="bottom"/>
          </w:tcPr>
          <w:p>
            <w:pPr>
              <w:spacing w:after="0"/>
              <w:rPr>
                <w:sz w:val="14"/>
                <w:szCs w:val="14"/>
                <w:color w:val="auto"/>
              </w:rPr>
            </w:pPr>
          </w:p>
        </w:tc>
      </w:tr>
      <w:tr>
        <w:trPr>
          <w:trHeight w:val="131"/>
        </w:trPr>
        <w:tc>
          <w:tcPr>
            <w:tcW w:w="4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9"/>
              <w:spacing w:after="0" w:line="131" w:lineRule="exact"/>
              <w:rPr>
                <w:sz w:val="20"/>
                <w:szCs w:val="20"/>
                <w:color w:val="auto"/>
              </w:rPr>
            </w:pPr>
            <w:r>
              <w:rPr>
                <w:rFonts w:ascii="Times New Roman" w:cs="Times New Roman" w:eastAsia="Times New Roman" w:hAnsi="Times New Roman"/>
                <w:sz w:val="14"/>
                <w:szCs w:val="14"/>
                <w:b w:val="1"/>
                <w:bCs w:val="1"/>
                <w:color w:val="auto"/>
                <w:w w:val="99"/>
              </w:rPr>
              <w:t>Millions of</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Millions of</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160" w:type="dxa"/>
            <w:vAlign w:val="bottom"/>
          </w:tcPr>
          <w:p>
            <w:pPr>
              <w:spacing w:after="0"/>
              <w:rPr>
                <w:sz w:val="11"/>
                <w:szCs w:val="11"/>
                <w:color w:val="auto"/>
              </w:rPr>
            </w:pPr>
          </w:p>
        </w:tc>
      </w:tr>
      <w:tr>
        <w:trPr>
          <w:trHeight w:val="187"/>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80" w:type="dxa"/>
            <w:vAlign w:val="bottom"/>
          </w:tcPr>
          <w:p>
            <w:pPr>
              <w:spacing w:after="0"/>
              <w:rPr>
                <w:sz w:val="16"/>
                <w:szCs w:val="16"/>
                <w:color w:val="auto"/>
              </w:rPr>
            </w:pPr>
          </w:p>
        </w:tc>
        <w:tc>
          <w:tcPr>
            <w:tcW w:w="130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60" w:type="dxa"/>
            <w:vAlign w:val="bottom"/>
          </w:tcPr>
          <w:p>
            <w:pPr>
              <w:spacing w:after="0"/>
              <w:rPr>
                <w:sz w:val="16"/>
                <w:szCs w:val="16"/>
                <w:color w:val="auto"/>
              </w:rPr>
            </w:pP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Net Sales</w:t>
            </w:r>
          </w:p>
        </w:tc>
      </w:tr>
      <w:tr>
        <w:trPr>
          <w:trHeight w:val="228"/>
        </w:trPr>
        <w:tc>
          <w:tcPr>
            <w:tcW w:w="460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w w:val="99"/>
              </w:rPr>
              <w:t>Direct material costs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52"/>
        </w:trPr>
        <w:tc>
          <w:tcPr>
            <w:tcW w:w="460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w w:val="99"/>
              </w:rPr>
              <w:t>Labor and overhead costs</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Pr>
          <w:p>
            <w:pPr>
              <w:spacing w:after="0"/>
              <w:rPr>
                <w:sz w:val="21"/>
                <w:szCs w:val="21"/>
                <w:color w:val="auto"/>
              </w:rPr>
            </w:pPr>
          </w:p>
        </w:tc>
      </w:tr>
      <w:tr>
        <w:trPr>
          <w:trHeight w:val="237"/>
        </w:trPr>
        <w:tc>
          <w:tcPr>
            <w:tcW w:w="460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The change in total cost of goods sold reflects higher sales in the current quarter compared with prior year first quarter (which included $900,000 in one-time retroactive price increases paid to key suppliers). Total direct material costs in the first quarter of fiscal 2025 benefited from $1.3 million in lower raw material and purchased component costs. Labor and overhead costs were relatively consistent between the comparative periods as cost benefits were offset by higher costs as noted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Decrease</w:t>
      </w:r>
    </w:p>
    <w:p>
      <w:pPr>
        <w:spacing w:after="0" w:line="29" w:lineRule="exact"/>
        <w:rPr>
          <w:sz w:val="20"/>
          <w:szCs w:val="20"/>
          <w:color w:val="auto"/>
        </w:rPr>
      </w:pPr>
    </w:p>
    <w:p>
      <w:pPr>
        <w:ind w:left="940" w:hanging="506"/>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foreign exchange benefit of $2.7 million due to change in U.S. dollar to Mexican peso exchange rates. The average U.S.</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dollar/Mexican peso exchange rate increased to approximately U.S. dollar/19.30 pesos in the current year quarter from approximately U.S.</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dollar/17.14 pesos in the prior year quarter, reducing the U.S. dollar cost of our Mexican operations.</w:t>
      </w:r>
    </w:p>
    <w:p>
      <w:pPr>
        <w:spacing w:after="0" w:line="207" w:lineRule="exact"/>
        <w:rPr>
          <w:sz w:val="20"/>
          <w:szCs w:val="20"/>
          <w:color w:val="auto"/>
        </w:rPr>
      </w:pPr>
    </w:p>
    <w:p>
      <w:pPr>
        <w:ind w:left="940" w:right="180" w:hanging="506"/>
        <w:spacing w:after="0" w:line="261"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Mexico manufacturing costs increased by $1.4 million driven by government mandated minimum wage increases effective January 1, 2024, partially offset by a reduction in other manufacturing costs.</w:t>
      </w:r>
    </w:p>
    <w:p>
      <w:pPr>
        <w:ind w:left="940" w:right="100" w:hanging="506"/>
        <w:spacing w:after="0" w:line="250"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quarter of fiscal 2025 included $650,000 of accrued expenses for our short-term incentive bonus plan. No bonus expense provisions were recorded in the prior year quarter.</w:t>
      </w:r>
    </w:p>
    <w:p>
      <w:pPr>
        <w:ind w:left="940" w:hanging="506"/>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shipping costs of $400,000 were related to expedited shipments.</w:t>
      </w:r>
    </w:p>
    <w:p>
      <w:pPr>
        <w:spacing w:after="0" w:line="207" w:lineRule="exact"/>
        <w:rPr>
          <w:sz w:val="20"/>
          <w:szCs w:val="20"/>
          <w:color w:val="auto"/>
        </w:rPr>
      </w:pPr>
    </w:p>
    <w:p>
      <w:pPr>
        <w:ind w:right="460" w:firstLine="562"/>
        <w:spacing w:after="0" w:line="282" w:lineRule="auto"/>
        <w:rPr>
          <w:sz w:val="20"/>
          <w:szCs w:val="20"/>
          <w:color w:val="auto"/>
        </w:rPr>
      </w:pPr>
      <w:r>
        <w:rPr>
          <w:rFonts w:ascii="Times New Roman" w:cs="Times New Roman" w:eastAsia="Times New Roman" w:hAnsi="Times New Roman"/>
          <w:sz w:val="18"/>
          <w:szCs w:val="18"/>
          <w:color w:val="auto"/>
        </w:rPr>
        <w:t>Higher variable labor and overhead costs were offset by more favorable absorption of fixed overhead costs resulting from production volume increases.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5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219"/>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60" w:type="dxa"/>
            <w:vAlign w:val="bottom"/>
          </w:tcPr>
          <w:p>
            <w:pPr>
              <w:spacing w:after="0"/>
              <w:rPr>
                <w:sz w:val="11"/>
                <w:szCs w:val="11"/>
                <w:color w:val="auto"/>
              </w:rPr>
            </w:pPr>
          </w:p>
        </w:tc>
      </w:tr>
      <w:tr>
        <w:trPr>
          <w:trHeight w:val="187"/>
        </w:trPr>
        <w:tc>
          <w:tcPr>
            <w:tcW w:w="5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r>
      <w:tr>
        <w:trPr>
          <w:trHeight w:val="22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(in millions)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5"/>
              </w:rPr>
              <w:t>18.9</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9"/>
                <w:szCs w:val="19"/>
                <w:color w:val="auto"/>
              </w:rPr>
            </w:pPr>
          </w:p>
        </w:tc>
      </w:tr>
      <w:tr>
        <w:trPr>
          <w:trHeight w:val="265"/>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p>
        </w:tc>
        <w:tc>
          <w:tcPr>
            <w:tcW w:w="160" w:type="dxa"/>
            <w:vAlign w:val="bottom"/>
          </w:tcPr>
          <w:p>
            <w:pPr>
              <w:spacing w:after="0"/>
              <w:rPr>
                <w:sz w:val="23"/>
                <w:szCs w:val="23"/>
                <w:color w:val="auto"/>
              </w:rPr>
            </w:pPr>
          </w:p>
        </w:tc>
        <w:tc>
          <w:tcPr>
            <w:tcW w:w="14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13.6 %</w:t>
            </w:r>
          </w:p>
        </w:tc>
        <w:tc>
          <w:tcPr>
            <w:tcW w:w="260" w:type="dxa"/>
            <w:vAlign w:val="bottom"/>
          </w:tcPr>
          <w:p>
            <w:pPr>
              <w:spacing w:after="0"/>
              <w:rPr>
                <w:sz w:val="23"/>
                <w:szCs w:val="23"/>
                <w:color w:val="auto"/>
              </w:rPr>
            </w:pP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94"/>
              </w:rPr>
              <w:t>13.8 %</w:t>
            </w:r>
          </w:p>
        </w:tc>
      </w:tr>
    </w:tbl>
    <w:p>
      <w:pPr>
        <w:spacing w:after="0" w:line="211" w:lineRule="exact"/>
        <w:rPr>
          <w:sz w:val="20"/>
          <w:szCs w:val="20"/>
          <w:color w:val="auto"/>
        </w:rPr>
      </w:pPr>
    </w:p>
    <w:p>
      <w:pPr>
        <w:ind w:right="80" w:firstLine="562"/>
        <w:spacing w:after="0" w:line="261" w:lineRule="auto"/>
        <w:rPr>
          <w:sz w:val="20"/>
          <w:szCs w:val="20"/>
          <w:color w:val="auto"/>
        </w:rPr>
      </w:pPr>
      <w:r>
        <w:rPr>
          <w:rFonts w:ascii="Times New Roman" w:cs="Times New Roman" w:eastAsia="Times New Roman" w:hAnsi="Times New Roman"/>
          <w:sz w:val="18"/>
          <w:szCs w:val="18"/>
          <w:color w:val="auto"/>
        </w:rPr>
        <w:t>Last year’s first quarter benefited by 4.7 percentage points due to the impact of one-time retroactive pricing. Excluding that effect, gross profit and margin improved as a result of higher sales, reduced raw material and purchased component costs, a favorable foreign exchange rate, production efficiencies in Mexico and reduced royalty costs which more than offset the unfavorable impacts of higher Mexican wage and benefit costs and freight costs, as well as short-term incentive bonus plan accruals.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Engineering, selling and administrative expenses in the current year quarter and prior year quarter were as follows:</w:t>
      </w:r>
    </w:p>
    <w:p>
      <w:pPr>
        <w:spacing w:after="0" w:line="232" w:lineRule="exact"/>
        <w:rPr>
          <w:sz w:val="20"/>
          <w:szCs w:val="20"/>
          <w:color w:val="auto"/>
        </w:rPr>
      </w:pPr>
    </w:p>
    <w:tbl>
      <w:tblPr>
        <w:tblLayout w:type="fixed"/>
        <w:tblInd w:w="120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57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99"/>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60" w:type="dxa"/>
            <w:vAlign w:val="bottom"/>
          </w:tcPr>
          <w:p>
            <w:pPr>
              <w:spacing w:after="0"/>
              <w:rPr>
                <w:sz w:val="11"/>
                <w:szCs w:val="11"/>
                <w:color w:val="auto"/>
              </w:rPr>
            </w:pPr>
          </w:p>
        </w:tc>
      </w:tr>
      <w:tr>
        <w:trPr>
          <w:trHeight w:val="187"/>
        </w:trPr>
        <w:tc>
          <w:tcPr>
            <w:tcW w:w="5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r>
      <w:tr>
        <w:trPr>
          <w:trHeight w:val="22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Expenses (in millions)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9"/>
                <w:szCs w:val="19"/>
                <w:color w:val="auto"/>
              </w:rPr>
            </w:pPr>
          </w:p>
        </w:tc>
      </w:tr>
      <w:tr>
        <w:trPr>
          <w:trHeight w:val="265"/>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Expenses as a percentage of net sales</w:t>
            </w:r>
          </w:p>
        </w:tc>
        <w:tc>
          <w:tcPr>
            <w:tcW w:w="180" w:type="dxa"/>
            <w:vAlign w:val="bottom"/>
          </w:tcPr>
          <w:p>
            <w:pPr>
              <w:spacing w:after="0"/>
              <w:rPr>
                <w:sz w:val="23"/>
                <w:szCs w:val="23"/>
                <w:color w:val="auto"/>
              </w:rPr>
            </w:pPr>
          </w:p>
        </w:tc>
        <w:tc>
          <w:tcPr>
            <w:tcW w:w="14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r>
    </w:tbl>
    <w:p>
      <w:pPr>
        <w:spacing w:after="0" w:line="211" w:lineRule="exact"/>
        <w:rPr>
          <w:sz w:val="20"/>
          <w:szCs w:val="20"/>
          <w:color w:val="auto"/>
        </w:rPr>
      </w:pPr>
    </w:p>
    <w:p>
      <w:pPr>
        <w:ind w:firstLine="562"/>
        <w:spacing w:after="0" w:line="282" w:lineRule="auto"/>
        <w:rPr>
          <w:sz w:val="20"/>
          <w:szCs w:val="20"/>
          <w:color w:val="auto"/>
        </w:rPr>
      </w:pPr>
      <w:r>
        <w:rPr>
          <w:rFonts w:ascii="Times New Roman" w:cs="Times New Roman" w:eastAsia="Times New Roman" w:hAnsi="Times New Roman"/>
          <w:sz w:val="18"/>
          <w:szCs w:val="18"/>
          <w:color w:val="auto"/>
        </w:rPr>
        <w:t>Engineering, selling and administrative expenses increased $1.3 million year over year mostly as a result of $820,000 of accruals for our short-term incentive plan and $550,000 of one-time CEO transition costs in the current quarter. No bonus expense provisions were recorded in the prior year quarter.</w:t>
      </w:r>
    </w:p>
    <w:p>
      <w:pPr>
        <w:spacing w:after="0" w:line="189" w:lineRule="exact"/>
        <w:rPr>
          <w:sz w:val="20"/>
          <w:szCs w:val="20"/>
          <w:color w:val="auto"/>
        </w:rPr>
      </w:pPr>
    </w:p>
    <w:p>
      <w:pPr>
        <w:ind w:right="200" w:firstLine="562"/>
        <w:spacing w:after="0" w:line="282" w:lineRule="auto"/>
        <w:rPr>
          <w:sz w:val="20"/>
          <w:szCs w:val="20"/>
          <w:color w:val="auto"/>
        </w:rPr>
      </w:pPr>
      <w:r>
        <w:rPr>
          <w:rFonts w:ascii="Times New Roman" w:cs="Times New Roman" w:eastAsia="Times New Roman" w:hAnsi="Times New Roman"/>
          <w:sz w:val="18"/>
          <w:szCs w:val="18"/>
          <w:color w:val="auto"/>
        </w:rPr>
        <w:t>Income from operations was $5.1 million in the current year quarter compared with $6.1 million in the prior-year quarter reflecting the impact of increased engineering, selling and administrative expenses on relatively unchanged gross profit.</w:t>
      </w:r>
    </w:p>
    <w:p>
      <w:pPr>
        <w:spacing w:after="0" w:line="94" w:lineRule="exact"/>
        <w:rPr>
          <w:sz w:val="20"/>
          <w:szCs w:val="20"/>
          <w:color w:val="auto"/>
        </w:rPr>
      </w:pPr>
    </w:p>
    <w:p>
      <w:pPr>
        <w:jc w:val="both"/>
        <w:ind w:right="260" w:firstLine="562"/>
        <w:spacing w:after="0" w:line="266" w:lineRule="auto"/>
        <w:rPr>
          <w:sz w:val="20"/>
          <w:szCs w:val="20"/>
          <w:color w:val="auto"/>
        </w:rPr>
      </w:pPr>
      <w:r>
        <w:rPr>
          <w:rFonts w:ascii="Times New Roman" w:cs="Times New Roman" w:eastAsia="Times New Roman" w:hAnsi="Times New Roman"/>
          <w:sz w:val="18"/>
          <w:szCs w:val="18"/>
          <w:color w:val="auto"/>
        </w:rPr>
        <w:t>Equity loss from joint ventures was $265,000 in the prior year quarter. Effective June 30, 2023, STRATTEC sold its one-third interest in VAST LLC to WITTE. Refer to the discussion of the Equity Loss from Joint Ventures included in the Notes to Financial Statements within this Form 10-Q for additional information. The prior quarter loss was the result of additional professional fees incurred during the period related to the sale.</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2"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Included in Other Income, net was comprised of (in thousands):</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53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2"/>
          </w:tcPr>
          <w:p>
            <w:pPr>
              <w:jc w:val="right"/>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60" w:type="dxa"/>
            <w:vAlign w:val="bottom"/>
          </w:tcPr>
          <w:p>
            <w:pPr>
              <w:spacing w:after="0"/>
              <w:rPr>
                <w:sz w:val="11"/>
                <w:szCs w:val="11"/>
                <w:color w:val="auto"/>
              </w:rPr>
            </w:pPr>
          </w:p>
        </w:tc>
      </w:tr>
      <w:tr>
        <w:trPr>
          <w:trHeight w:val="187"/>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r>
      <w:tr>
        <w:trPr>
          <w:trHeight w:val="22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9"/>
                <w:szCs w:val="19"/>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loss on peso forward contracts, net</w:t>
            </w:r>
          </w:p>
        </w:tc>
        <w:tc>
          <w:tcPr>
            <w:tcW w:w="2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(735 )</w:t>
            </w:r>
          </w:p>
        </w:tc>
        <w:tc>
          <w:tcPr>
            <w:tcW w:w="28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plan cost</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(363 )</w:t>
            </w:r>
          </w:p>
        </w:tc>
        <w:tc>
          <w:tcPr>
            <w:tcW w:w="28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Rabbi Trust gain</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5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22"/>
                <w:szCs w:val="22"/>
                <w:color w:val="auto"/>
              </w:rPr>
            </w:pPr>
          </w:p>
        </w:tc>
      </w:tr>
      <w:tr>
        <w:trPr>
          <w:trHeight w:val="232"/>
        </w:trPr>
        <w:tc>
          <w:tcPr>
            <w:tcW w:w="53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79"/>
          </w:cols>
          <w:pgMar w:left="880" w:top="985" w:right="1440" w:bottom="1440" w:gutter="0" w:footer="0" w:header="0"/>
        </w:sectPr>
      </w:pPr>
    </w:p>
    <w:bookmarkStart w:id="20" w:name="page21"/>
    <w:bookmarkEnd w:id="20"/>
    <w:p>
      <w:pPr>
        <w:ind w:left="560"/>
        <w:spacing w:after="0"/>
        <w:rPr>
          <w:sz w:val="20"/>
          <w:szCs w:val="20"/>
          <w:color w:val="auto"/>
        </w:rPr>
      </w:pPr>
      <w:r>
        <w:rPr>
          <w:rFonts w:ascii="Times New Roman" w:cs="Times New Roman" w:eastAsia="Times New Roman" w:hAnsi="Times New Roman"/>
          <w:sz w:val="18"/>
          <w:szCs w:val="18"/>
          <w:color w:val="auto"/>
        </w:rPr>
        <w:t>Changes in Other Income, net included:</w:t>
      </w:r>
    </w:p>
    <w:p>
      <w:pPr>
        <w:spacing w:after="0" w:line="225" w:lineRule="exact"/>
        <w:rPr>
          <w:sz w:val="20"/>
          <w:szCs w:val="20"/>
          <w:color w:val="auto"/>
        </w:rPr>
      </w:pPr>
    </w:p>
    <w:p>
      <w:pPr>
        <w:ind w:left="940" w:right="680" w:hanging="506"/>
        <w:spacing w:after="0" w:line="261"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gains and losses resulted from activity associated with foreign denominated assets held by our Mexican subsidiaries.</w:t>
      </w:r>
    </w:p>
    <w:p>
      <w:pPr>
        <w:ind w:left="940" w:right="700" w:hanging="506"/>
        <w:spacing w:after="0" w:line="250"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Rabbi Trust assets fund our amended and restated supplemental executive retirement plan. The investments held in the Trust are considered trading securities.</w:t>
      </w:r>
    </w:p>
    <w:p>
      <w:pPr>
        <w:ind w:left="940" w:right="80" w:hanging="506"/>
        <w:spacing w:after="0" w:line="250"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the Mexican peso currency forward contracts to reduce earnings volatility resulting from changes in exchange rates affecting the U.S. dollar cost of our Mexican operations. Unrealized gains and losses on the peso forward contracts recognized as a result of mark-to-market adjustments as of September 29, 2024 may or may not be realized in future periods, depending on actual Mexican peso to U.S. dollar exchange rates experienced during the balance of the contract period.</w:t>
      </w:r>
    </w:p>
    <w:p>
      <w:pPr>
        <w:spacing w:after="0" w:line="1" w:lineRule="exact"/>
        <w:rPr>
          <w:rFonts w:ascii="Times New Roman" w:cs="Times New Roman" w:eastAsia="Times New Roman" w:hAnsi="Times New Roman"/>
          <w:sz w:val="18"/>
          <w:szCs w:val="18"/>
          <w:color w:val="auto"/>
        </w:rPr>
      </w:pPr>
    </w:p>
    <w:p>
      <w:pPr>
        <w:ind w:left="940" w:hanging="506"/>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postretirement plan costs include the components of net periodic benefit cost other than the service cost component.</w:t>
      </w:r>
    </w:p>
    <w:p>
      <w:pPr>
        <w:spacing w:after="0" w:line="220" w:lineRule="exact"/>
        <w:rPr>
          <w:sz w:val="20"/>
          <w:szCs w:val="20"/>
          <w:color w:val="auto"/>
        </w:rPr>
      </w:pPr>
    </w:p>
    <w:p>
      <w:pPr>
        <w:ind w:right="80" w:firstLine="569"/>
        <w:spacing w:after="0" w:line="261" w:lineRule="auto"/>
        <w:rPr>
          <w:sz w:val="20"/>
          <w:szCs w:val="20"/>
          <w:color w:val="auto"/>
        </w:rPr>
      </w:pPr>
      <w:r>
        <w:rPr>
          <w:rFonts w:ascii="Times New Roman" w:cs="Times New Roman" w:eastAsia="Times New Roman" w:hAnsi="Times New Roman"/>
          <w:sz w:val="18"/>
          <w:szCs w:val="18"/>
          <w:color w:val="auto"/>
        </w:rPr>
        <w:t>Our effective tax rate was 28.6 percent and 23.7 percent for the three-month periods ended September 29, 2024 and October 1, 2023, respectively. The effective tax rate for the three-month periods ended September 29, 2024 and October 1, 2023 were impacted by the foreign tax rate differential. The effective tax rate for the three-month period ended September 29, 2024 was also impacted by a limitation on the utilization of our foreign tax credits and non-deductible items, which causes the effective tax rate to differ from the statutory tax 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(in millions)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6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52"/>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3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Receivable Balances from Major Customers</w:t>
      </w:r>
    </w:p>
    <w:p>
      <w:pPr>
        <w:spacing w:after="0" w:line="119"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Our primary source of cash flow is from our major customers, which include General Motors Company, Stellantis and Ford Motor Company. As of the date of filing this Form 10-Q with the Securities and Exchange Commission, all of our major customers are making payments on their outstanding accounts receivable in accordance with the payment terms included on their purchase orders. A summary of our outstanding receivable balances from our major customers as of September 29, 2024 was as follows (in millions):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3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3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Stellantis</w:t>
            </w:r>
          </w:p>
        </w:tc>
        <w:tc>
          <w:tcPr>
            <w:tcW w:w="3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Balances in Mexico</w:t>
      </w:r>
    </w:p>
    <w:p>
      <w:pPr>
        <w:spacing w:after="0" w:line="119" w:lineRule="exact"/>
        <w:rPr>
          <w:sz w:val="20"/>
          <w:szCs w:val="20"/>
          <w:color w:val="auto"/>
        </w:rPr>
      </w:pPr>
    </w:p>
    <w:p>
      <w:pPr>
        <w:ind w:right="440" w:firstLine="562"/>
        <w:spacing w:after="0" w:line="282" w:lineRule="auto"/>
        <w:rPr>
          <w:sz w:val="20"/>
          <w:szCs w:val="20"/>
          <w:color w:val="auto"/>
        </w:rPr>
      </w:pPr>
      <w:r>
        <w:rPr>
          <w:rFonts w:ascii="Times New Roman" w:cs="Times New Roman" w:eastAsia="Times New Roman" w:hAnsi="Times New Roman"/>
          <w:sz w:val="18"/>
          <w:szCs w:val="18"/>
          <w:color w:val="auto"/>
        </w:rPr>
        <w:t>We earn a portion of our operating income in Mexico. As of September 29, 2024, $3.3 million of our $34.4 million cash and cash equivalents balance was held in Mexico. These funds are available for repatriation as deemed necessary.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 (in millions)</w:t>
      </w:r>
    </w:p>
    <w:p>
      <w:pPr>
        <w:spacing w:after="0" w:line="19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31"/>
        </w:trPr>
        <w:tc>
          <w:tcPr>
            <w:tcW w:w="6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60" w:type="dxa"/>
            <w:vAlign w:val="bottom"/>
          </w:tcPr>
          <w:p>
            <w:pPr>
              <w:spacing w:after="0"/>
              <w:rPr>
                <w:sz w:val="11"/>
                <w:szCs w:val="11"/>
                <w:color w:val="auto"/>
              </w:rPr>
            </w:pPr>
          </w:p>
        </w:tc>
      </w:tr>
      <w:tr>
        <w:trPr>
          <w:trHeight w:val="187"/>
        </w:trPr>
        <w:tc>
          <w:tcPr>
            <w:tcW w:w="6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3"/>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43"/>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1" w:name="page22"/>
    <w:bookmarkEnd w:id="21"/>
    <w:p>
      <w:pPr>
        <w:ind w:right="280" w:firstLine="562"/>
        <w:spacing w:after="0" w:line="282" w:lineRule="auto"/>
        <w:rPr>
          <w:sz w:val="20"/>
          <w:szCs w:val="20"/>
          <w:color w:val="auto"/>
        </w:rPr>
      </w:pPr>
      <w:r>
        <w:rPr>
          <w:rFonts w:ascii="Times New Roman" w:cs="Times New Roman" w:eastAsia="Times New Roman" w:hAnsi="Times New Roman"/>
          <w:sz w:val="18"/>
          <w:szCs w:val="18"/>
          <w:color w:val="auto"/>
        </w:rPr>
        <w:t>The increase in cash provided by operating activities between periods was primarily due to a reduction in working capital requirements between periods. Working capital requirement changes between periods were comprised of the following items (in millions):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Increase (Decrease) in Working Capital Requirements</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80" w:type="dxa"/>
            <w:vAlign w:val="bottom"/>
            <w:gridSpan w:val="2"/>
          </w:tcPr>
          <w:p>
            <w:pPr>
              <w:jc w:val="right"/>
              <w:ind w:right="8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540" w:type="dxa"/>
            <w:vAlign w:val="bottom"/>
          </w:tcPr>
          <w:p>
            <w:pPr>
              <w:spacing w:after="0"/>
              <w:rPr>
                <w:sz w:val="11"/>
                <w:szCs w:val="11"/>
                <w:color w:val="auto"/>
              </w:rPr>
            </w:pPr>
          </w:p>
        </w:tc>
        <w:tc>
          <w:tcPr>
            <w:tcW w:w="1300" w:type="dxa"/>
            <w:vAlign w:val="bottom"/>
          </w:tcPr>
          <w:p>
            <w:pPr>
              <w:jc w:val="right"/>
              <w:ind w:right="516"/>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(5.9 )</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reduction in our working capital requirements for the first quarter of fiscal 2025 was primarily due to the following:</w:t>
      </w:r>
    </w:p>
    <w:p>
      <w:pPr>
        <w:spacing w:after="0" w:line="225" w:lineRule="exact"/>
        <w:rPr>
          <w:sz w:val="20"/>
          <w:szCs w:val="20"/>
          <w:color w:val="auto"/>
        </w:rPr>
      </w:pPr>
    </w:p>
    <w:p>
      <w:pPr>
        <w:ind w:left="940" w:hanging="506"/>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accounts receivable reflects higher sales in the latter half of the quarter.</w:t>
      </w:r>
    </w:p>
    <w:p>
      <w:pPr>
        <w:spacing w:after="0" w:line="27" w:lineRule="exact"/>
        <w:rPr>
          <w:rFonts w:ascii="Times New Roman" w:cs="Times New Roman" w:eastAsia="Times New Roman" w:hAnsi="Times New Roman"/>
          <w:sz w:val="18"/>
          <w:szCs w:val="18"/>
          <w:color w:val="auto"/>
        </w:rPr>
      </w:pPr>
    </w:p>
    <w:p>
      <w:pPr>
        <w:ind w:left="940" w:right="420" w:hanging="506"/>
        <w:spacing w:after="0" w:line="250"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inventory for the current year period was due to higher purchased material inventory required to support increased sales of higher contented programs as well as the anticipated launch of a new program.</w:t>
      </w:r>
    </w:p>
    <w:p>
      <w:pPr>
        <w:ind w:left="940" w:hanging="506"/>
        <w:spacing w:after="0" w:line="250"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other assets reflects a reduction in customer tooling balances in the current year period. Customer tooling balances are impacted by the timing of tooling development spend to meet customer production requirements and related customer billings for tooling cost reimbursement.</w:t>
      </w:r>
    </w:p>
    <w:p>
      <w:pPr>
        <w:spacing w:after="0" w:line="1" w:lineRule="exact"/>
        <w:rPr>
          <w:rFonts w:ascii="Times New Roman" w:cs="Times New Roman" w:eastAsia="Times New Roman" w:hAnsi="Times New Roman"/>
          <w:sz w:val="18"/>
          <w:szCs w:val="18"/>
          <w:color w:val="auto"/>
        </w:rPr>
      </w:pPr>
    </w:p>
    <w:p>
      <w:pPr>
        <w:ind w:left="940" w:right="80" w:hanging="506"/>
        <w:spacing w:after="0" w:line="255"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and accrued liability balances reflects increases for parts purchased from a foreign vendor, partially offset by a reduction in accrued salaries and benefits. Accounts payable balances for each period reflected the timing of purchases and payments with our vendors based on normal, established payment terms.</w:t>
      </w:r>
    </w:p>
    <w:p>
      <w:pPr>
        <w:spacing w:after="0" w:line="186" w:lineRule="exact"/>
        <w:rPr>
          <w:sz w:val="20"/>
          <w:szCs w:val="20"/>
          <w:color w:val="auto"/>
        </w:rPr>
      </w:pPr>
    </w:p>
    <w:p>
      <w:pPr>
        <w:ind w:right="140" w:firstLine="562"/>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of $2.1 million was for capital expenditures to support new product programs as well as the upgrade and replacement of existing equipment. We anticipate total capital expenditures will be approximately $15 million in fiscal 2025. Net cash used in investing activities of $920,000 during the prior year period included $2.0 million in proceeds received from the fourth quarter fiscal 2023 sale of our investment in the VAST LLC joint venture and $2.9 million in capital expenditures for new product programs and the upgrade and replacement of existing equipment.</w:t>
      </w:r>
    </w:p>
    <w:p>
      <w:pPr>
        <w:spacing w:after="0" w:line="180" w:lineRule="exact"/>
        <w:rPr>
          <w:sz w:val="20"/>
          <w:szCs w:val="20"/>
          <w:color w:val="auto"/>
        </w:rPr>
      </w:pPr>
    </w:p>
    <w:p>
      <w:pPr>
        <w:ind w:right="320" w:firstLine="56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$13,000 was from $13,000 received for purchases under our employee stock purchase plan. The $3 million of borrowings under our credit facility were repaid during the period resulting in no net change in cash during the period. Net cash provided by financing activities of $17,000 during the prior year period included $2 million of borrowings under our credit facility, which borrowings were repaid during the period resulting in no net change in cash during the period, and $17,000 received for purchases under our employee stock purchase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Our Board of Directors authorized a stock repurchase program to buy back outstanding shares of our common stock. Shares authorized for buy back under the program totaled 3,839,395 at September 29, 2024 at which time there were 184,073 remaining shares authorized to be repurchased under the program. A total of 3,655,322 shares have been repurchased over the life of the program through September 29, 2024, at a cost of approximately $136.4 million. No shares were repurchased during the three-month periods ended September 29, 2024 or October 1, 2023</w:t>
      </w:r>
    </w:p>
    <w:p>
      <w:pPr>
        <w:spacing w:after="0" w:line="180" w:lineRule="exact"/>
        <w:rPr>
          <w:sz w:val="20"/>
          <w:szCs w:val="20"/>
          <w:color w:val="auto"/>
        </w:rPr>
      </w:pPr>
    </w:p>
    <w:p>
      <w:pPr>
        <w:ind w:right="120" w:firstLine="562"/>
        <w:spacing w:after="0" w:line="266" w:lineRule="auto"/>
        <w:rPr>
          <w:sz w:val="20"/>
          <w:szCs w:val="20"/>
          <w:color w:val="auto"/>
        </w:rPr>
      </w:pPr>
      <w:r>
        <w:rPr>
          <w:rFonts w:ascii="Times New Roman" w:cs="Times New Roman" w:eastAsia="Times New Roman" w:hAnsi="Times New Roman"/>
          <w:sz w:val="18"/>
          <w:szCs w:val="18"/>
          <w:color w:val="auto"/>
        </w:rPr>
        <w:t>While additional repurchases may occur from time to time, based on the current economic environment and our preference to conserve cash for other uses, we anticipate modest or no stock repurchase activity for the remainder of fiscal year 2025. Stock repurchases, if any, are expected to be funded by cash flow from operations and current cash balances.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19" w:lineRule="exact"/>
        <w:rPr>
          <w:sz w:val="20"/>
          <w:szCs w:val="20"/>
          <w:color w:val="auto"/>
        </w:rPr>
      </w:pPr>
    </w:p>
    <w:p>
      <w:pPr>
        <w:ind w:right="60" w:firstLine="562"/>
        <w:spacing w:after="0" w:line="252" w:lineRule="auto"/>
        <w:rPr>
          <w:sz w:val="20"/>
          <w:szCs w:val="20"/>
          <w:color w:val="auto"/>
        </w:rPr>
      </w:pPr>
      <w:r>
        <w:rPr>
          <w:rFonts w:ascii="Times New Roman" w:cs="Times New Roman" w:eastAsia="Times New Roman" w:hAnsi="Times New Roman"/>
          <w:sz w:val="18"/>
          <w:szCs w:val="18"/>
          <w:color w:val="auto"/>
        </w:rPr>
        <w:t>STRATTEC has a $40 million secured revolving credit facility (the “STRATTEC Credit Facility”) with BMO Harris Bank N.A. ADAC-STRATTEC LLC has a $20 million secured revolving credit facility (the “ADAC-STRATTEC Credit Facility”) with BMO Harris Bank N.A., which is guaranteed by STRATTEC. The ADAC-STRATTEC Credit Facility borrowing limit decreases to $18 million on August 1, 2025. The credit facilities both expire August 1, 2026. Borrowings under either credit facility are secured by our U.S. cash balances, accounts receivable, inventory, and fixed assets located in the U.S. Interest on borrowings under the STRATTEC Credit Facility were at varying rates based, at our option, on the bank's prime rate or SOFR plus 1.35 percent through September 5, 2023 and SOFR plus 1.85 percent subsequent to September 5, 2023. Interest on borrowings under the ADAC-STRATTEC Credit Facility were at varying rates based, at our option, on the bank's prime rate with no interest rate margin through May 30, 2024 and a 2 percent interest rate margin subsequent to May 30, 2024 or SOFR plus 1.35 percent through May 30, 2024 and SOFR plus 3.10 percent subsequent to May 30, 2024. Both credit facilities contain a restrictive financial covenant that requires the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applicable borrower to maintain a minimum net worth level. The ADAC-STRATTEC Credit Facility includes an additional restrictive financial covenant that requires the maintenance of a minimum fixed charge coverage ratio. As of September 29, 2024, we were in compliance with all financial covenants required by these credit facilities.</w:t>
      </w:r>
    </w:p>
    <w:p>
      <w:pPr>
        <w:spacing w:after="0" w:line="176"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There were no outstanding borrowings under the STRATTEC Credit Facility as of September 29, 2024 or June 30, 2024. There were no borrowings under the STRATTEC Credit Facility during the three-month period ended September 29, 2024. Outstanding borrowings under the ADAC-STRATTEC Credit Facility totaled $13 at both September 29, 2024 and June 30, 2024. The average outstanding borrowings and weighted average interest rate on the ADAC-STRATTEC Credit Facility loans were approximately $13.7 million and 8.5 percent, respectively, during the three-month period ended September 29, 2024. We believe that the credit facilities are adequate, along with existing cash flows from operations, to meet our anticipated capital expenditure, working capital, dividend, and operating expenditure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Majority Owned Subsidiary</w:t>
      </w:r>
    </w:p>
    <w:p>
      <w:pPr>
        <w:spacing w:after="0" w:line="119" w:lineRule="exact"/>
        <w:rPr>
          <w:sz w:val="20"/>
          <w:szCs w:val="20"/>
          <w:color w:val="auto"/>
        </w:rPr>
      </w:pPr>
    </w:p>
    <w:p>
      <w:pPr>
        <w:ind w:right="140" w:firstLine="562"/>
        <w:spacing w:after="0" w:line="259" w:lineRule="auto"/>
        <w:rPr>
          <w:sz w:val="20"/>
          <w:szCs w:val="20"/>
          <w:color w:val="auto"/>
        </w:rPr>
      </w:pPr>
      <w:r>
        <w:rPr>
          <w:rFonts w:ascii="Times New Roman" w:cs="Times New Roman" w:eastAsia="Times New Roman" w:hAnsi="Times New Roman"/>
          <w:sz w:val="18"/>
          <w:szCs w:val="18"/>
          <w:color w:val="auto"/>
        </w:rPr>
        <w:t>Refer to the discussion of Investment in Majority Owned Subsidiary included at Note 7 in Notes to Condensed Consolidated Financial Statements within this Form 10-Q.</w:t>
      </w: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7"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Company’s reports filed or submitted under the Exchange Act, are recorded, processed, summarized and reported within the time periods specified in the Securities and Exchange Commission’s rules and forms, and that the information required to be disclosed by the Company in reports that it files or submits under the Exchange Act are accumulated and communicated to our management, including our Chief Executive Officer and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this evaluation, our Chief Executive Officer and Chief Financial Officer concluded that, as of the end of such period, our disclosure controls and procedures were effective at reaching a level of reasonable assurance. It should be noted that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We have designed our disclosure controls and procedures to reach a level of reasonable assurance of achieving the desired control objectives.</w:t>
      </w:r>
    </w:p>
    <w:p>
      <w:pPr>
        <w:spacing w:after="0" w:line="187" w:lineRule="exact"/>
        <w:rPr>
          <w:sz w:val="20"/>
          <w:szCs w:val="20"/>
          <w:color w:val="auto"/>
        </w:rPr>
      </w:pPr>
    </w:p>
    <w:p>
      <w:pPr>
        <w:ind w:right="100" w:firstLine="569"/>
        <w:spacing w:after="0" w:line="25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during our most recently completed fiscal quarter that has materially affected, or is reasonably likely to materially affect, our internal control over financial reporting.</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8"/>
          <w:szCs w:val="18"/>
          <w:color w:val="auto"/>
        </w:rPr>
        <w:t>Part II</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7" w:lineRule="exact"/>
        <w:rPr>
          <w:sz w:val="20"/>
          <w:szCs w:val="20"/>
          <w:color w:val="auto"/>
        </w:rPr>
      </w:pPr>
    </w:p>
    <w:p>
      <w:pPr>
        <w:ind w:right="120" w:firstLine="562"/>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involved in various legal proceedings from time to time. We do not believe we are currently involved in any claim or action the ultimate disposition of which would have a material adverse effect on our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225" w:lineRule="exact"/>
        <w:rPr>
          <w:sz w:val="20"/>
          <w:szCs w:val="20"/>
          <w:color w:val="auto"/>
        </w:rPr>
      </w:pPr>
    </w:p>
    <w:p>
      <w:pPr>
        <w:ind w:right="40" w:firstLine="562"/>
        <w:spacing w:after="0" w:line="254" w:lineRule="auto"/>
        <w:rPr>
          <w:sz w:val="20"/>
          <w:szCs w:val="20"/>
          <w:color w:val="auto"/>
        </w:rPr>
      </w:pPr>
      <w:r>
        <w:rPr>
          <w:rFonts w:ascii="Times New Roman" w:cs="Times New Roman" w:eastAsia="Times New Roman" w:hAnsi="Times New Roman"/>
          <w:sz w:val="18"/>
          <w:szCs w:val="18"/>
          <w:color w:val="auto"/>
        </w:rPr>
        <w:t>An investment in our Common Stock involves risks. Before making an investment decision, you should carefully consider all of the information in this Quarterly Report, including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If any of the identified risks are realized, our business, financial condition and operating results could be materially and adversely affected. In that case, the trading price of our Common Stock may decline. In addition, other risks of which we are currently unaware, or which we currently do not view as material, could have a material adverse effect on our business, financial condition and operating results. As of the date of this Quarterly Report, there have been no material changes to the risk factors previously disclosed under the section entitled Risk Factors in our Annual Report.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Use of Proceeds, and Issuer Purchases of Equity Securities—</w:t>
      </w:r>
    </w:p>
    <w:p>
      <w:pPr>
        <w:spacing w:after="0" w:line="117"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Our Board of Directors authorized a stock repurchase program on October 16, 1996, and the program was publicly announced on October 17, 1996. The Board of Directors has periodically increased the number of shares authorized for repurchase under the program, most recently in August 2008. The program currently authorizes the repurchase of up to 3,839,395 shares of our common stock from time to time, directly or through brokers or agents, and has no expiration date. Over the life of the repurchase program through September 29, 2024, a total of 3,655,322 shares have been repurchased at a cost of approximately $136.4 million. No shares were repurchased during the three-month period ended September 29, 2024.</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Securities—None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Disclosures—None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  Trading Plans.</w:t>
      </w:r>
    </w:p>
    <w:p>
      <w:pPr>
        <w:spacing w:after="0" w:line="144" w:lineRule="exact"/>
        <w:rPr>
          <w:sz w:val="20"/>
          <w:szCs w:val="20"/>
          <w:color w:val="auto"/>
        </w:rPr>
      </w:pPr>
    </w:p>
    <w:p>
      <w:pPr>
        <w:ind w:left="520" w:right="30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29, 2024, no director or officer of the Company adopted or terminated a “Rule 10b5-1 trading arrangement” or “non-Rule 10b5-1 trading arrangement,” as each term is defined in Item 408(a) of Regulation S-K, nor did the Company during such fiscal quarter adopt or terminate any “Rule 10b5-1 trading arrangement”.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Exhibits</w:t>
      </w:r>
    </w:p>
    <w:p>
      <w:pPr>
        <w:spacing w:after="0" w:line="104" w:lineRule="exact"/>
        <w:rPr>
          <w:sz w:val="20"/>
          <w:szCs w:val="20"/>
          <w:color w:val="auto"/>
        </w:rPr>
      </w:pPr>
    </w:p>
    <w:p>
      <w:pPr>
        <w:ind w:left="700" w:right="680" w:hanging="674"/>
        <w:spacing w:after="0" w:line="28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47">
        <w:r>
          <w:rPr>
            <w:rFonts w:ascii="Times New Roman" w:cs="Times New Roman" w:eastAsia="Times New Roman" w:hAnsi="Times New Roman"/>
            <w:sz w:val="18"/>
            <w:szCs w:val="18"/>
            <w:u w:val="single" w:color="auto"/>
            <w:color w:val="0000FF"/>
          </w:rPr>
          <w:t>Amended and Restated Articles of Incorporation of the Company (Incorporated by reference from Exhibit 3.1 to the Form 10-K filed on</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September 7,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-185420</wp:posOffset>
            </wp:positionV>
            <wp:extent cx="6256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2566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-48260</wp:posOffset>
            </wp:positionV>
            <wp:extent cx="926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926465" cy="8255"/>
                    </a:xfrm>
                    <a:prstGeom prst="rect">
                      <a:avLst/>
                    </a:prstGeom>
                    <a:noFill/>
                  </pic:spPr>
                </pic:pic>
              </a:graphicData>
            </a:graphic>
          </wp:anchor>
        </w:drawing>
      </w:r>
    </w:p>
    <w:p>
      <w:pPr>
        <w:spacing w:after="0" w:line="101" w:lineRule="exact"/>
        <w:rPr>
          <w:sz w:val="20"/>
          <w:szCs w:val="20"/>
          <w:color w:val="auto"/>
        </w:rPr>
      </w:pPr>
    </w:p>
    <w:p>
      <w:pPr>
        <w:ind w:left="700" w:right="160" w:hanging="674"/>
        <w:spacing w:after="0" w:line="28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50">
        <w:r>
          <w:rPr>
            <w:rFonts w:ascii="Times New Roman" w:cs="Times New Roman" w:eastAsia="Times New Roman" w:hAnsi="Times New Roman"/>
            <w:sz w:val="18"/>
            <w:szCs w:val="18"/>
            <w:u w:val="single" w:color="auto"/>
            <w:color w:val="0000FF"/>
          </w:rPr>
          <w:t>Amendment to Amended and Restated Articles of Incorporation of the Company (Incorporated by reference from Exhibit 3.1 to the Form 10-Q</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report filed on November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-185420</wp:posOffset>
            </wp:positionV>
            <wp:extent cx="65868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5868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-48260</wp:posOffset>
            </wp:positionV>
            <wp:extent cx="1602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602105" cy="8255"/>
                    </a:xfrm>
                    <a:prstGeom prst="rect">
                      <a:avLst/>
                    </a:prstGeom>
                    <a:noFill/>
                  </pic:spPr>
                </pic:pic>
              </a:graphicData>
            </a:graphic>
          </wp:anchor>
        </w:drawing>
      </w:r>
    </w:p>
    <w:p>
      <w:pPr>
        <w:spacing w:after="0" w:line="101" w:lineRule="exact"/>
        <w:rPr>
          <w:sz w:val="20"/>
          <w:szCs w:val="20"/>
          <w:color w:val="auto"/>
        </w:rPr>
      </w:pPr>
    </w:p>
    <w:p>
      <w:pPr>
        <w:ind w:left="700" w:right="240" w:hanging="674"/>
        <w:spacing w:after="0" w:line="28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53">
        <w:r>
          <w:rPr>
            <w:rFonts w:ascii="Times New Roman" w:cs="Times New Roman" w:eastAsia="Times New Roman" w:hAnsi="Times New Roman"/>
            <w:sz w:val="18"/>
            <w:szCs w:val="18"/>
            <w:u w:val="single" w:color="auto"/>
            <w:color w:val="0000FF"/>
          </w:rPr>
          <w:t>Amendment to Amended and Restated Articles of Incorporation of the Company (Incorporated by reference from Exhibit 3.1 to the Form 8-K</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report filed on October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-185420</wp:posOffset>
            </wp:positionV>
            <wp:extent cx="65297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5297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-48260</wp:posOffset>
            </wp:positionV>
            <wp:extent cx="1544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101" w:lineRule="exact"/>
        <w:rPr>
          <w:sz w:val="20"/>
          <w:szCs w:val="20"/>
          <w:color w:val="auto"/>
        </w:rPr>
      </w:pPr>
    </w:p>
    <w:p>
      <w:pPr>
        <w:ind w:left="700" w:right="420" w:hanging="674"/>
        <w:spacing w:after="0" w:line="28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56">
        <w:r>
          <w:rPr>
            <w:rFonts w:ascii="Times New Roman" w:cs="Times New Roman" w:eastAsia="Times New Roman" w:hAnsi="Times New Roman"/>
            <w:sz w:val="18"/>
            <w:szCs w:val="18"/>
            <w:u w:val="single" w:color="auto"/>
            <w:color w:val="0000FF"/>
          </w:rPr>
          <w:t>Amendment to Amended and Restated Articles of Incorporation of the Company (Incorporated by reference from Exhibit 3.1 to the Current</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Report on Form 8-K filed on October 23,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-185420</wp:posOffset>
            </wp:positionV>
            <wp:extent cx="64249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42493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-48260</wp:posOffset>
            </wp:positionV>
            <wp:extent cx="2208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208530" cy="8255"/>
                    </a:xfrm>
                    <a:prstGeom prst="rect">
                      <a:avLst/>
                    </a:prstGeom>
                    <a:noFill/>
                  </pic:spPr>
                </pic:pic>
              </a:graphicData>
            </a:graphic>
          </wp:anchor>
        </w:drawing>
      </w:r>
    </w:p>
    <w:p>
      <w:pPr>
        <w:spacing w:after="0" w:line="101" w:lineRule="exact"/>
        <w:rPr>
          <w:sz w:val="20"/>
          <w:szCs w:val="20"/>
          <w:color w:val="auto"/>
        </w:rPr>
      </w:pPr>
    </w:p>
    <w:p>
      <w:pPr>
        <w:ind w:left="20"/>
        <w:spacing w:after="0"/>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3.5</w:t>
      </w:r>
      <w:r>
        <w:rPr>
          <w:sz w:val="20"/>
          <w:szCs w:val="20"/>
          <w:color w:val="auto"/>
        </w:rPr>
        <w:tab/>
      </w:r>
      <w:hyperlink r:id="rId59">
        <w:r>
          <w:rPr>
            <w:rFonts w:ascii="Times New Roman" w:cs="Times New Roman" w:eastAsia="Times New Roman" w:hAnsi="Times New Roman"/>
            <w:sz w:val="17"/>
            <w:szCs w:val="17"/>
            <w:u w:val="single" w:color="auto"/>
            <w:color w:val="0000FF"/>
          </w:rPr>
          <w:t>Amended By-Laws of the Company (Incorporated by reference from Exhibit 3.2 to the Current Report on Form 8-K filed on October 23,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65614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561455" cy="8255"/>
                    </a:xfrm>
                    <a:prstGeom prst="rect">
                      <a:avLst/>
                    </a:prstGeom>
                    <a:noFill/>
                  </pic:spPr>
                </pic:pic>
              </a:graphicData>
            </a:graphic>
          </wp:anchor>
        </w:drawing>
      </w:r>
    </w:p>
    <w:p>
      <w:pPr>
        <w:spacing w:after="0" w:line="165" w:lineRule="exact"/>
        <w:rPr>
          <w:sz w:val="20"/>
          <w:szCs w:val="20"/>
          <w:color w:val="auto"/>
        </w:rPr>
      </w:pPr>
    </w:p>
    <w:p>
      <w:pPr>
        <w:ind w:left="700" w:right="260" w:hanging="674"/>
        <w:spacing w:after="0" w:line="28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61">
        <w:r>
          <w:rPr>
            <w:rFonts w:ascii="Times New Roman" w:cs="Times New Roman" w:eastAsia="Times New Roman" w:hAnsi="Times New Roman"/>
            <w:sz w:val="18"/>
            <w:szCs w:val="18"/>
            <w:u w:val="single" w:color="auto"/>
            <w:color w:val="0000FF"/>
          </w:rPr>
          <w:t>STRATTEC SECURITY CORPORATION 2024 Equity Incentive Plan (Incorporated by reference from Exhibit 10.1 to the Current Report on</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Form 8-K filed on October 23,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-185420</wp:posOffset>
            </wp:positionV>
            <wp:extent cx="65208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52081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-48260</wp:posOffset>
            </wp:positionV>
            <wp:extent cx="17545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1754505" cy="8255"/>
                    </a:xfrm>
                    <a:prstGeom prst="rect">
                      <a:avLst/>
                    </a:prstGeom>
                    <a:noFill/>
                  </pic:spPr>
                </pic:pic>
              </a:graphicData>
            </a:graphic>
          </wp:anchor>
        </w:drawing>
      </w:r>
    </w:p>
    <w:p>
      <w:pPr>
        <w:spacing w:after="0" w:line="196"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FF"/>
        </w:rPr>
        <w:t>STRATTEC SECURITY CORPORATION Short-Term Incentive Plan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41789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4178935" cy="8890"/>
                    </a:xfrm>
                    <a:prstGeom prst="rect">
                      <a:avLst/>
                    </a:prstGeom>
                    <a:noFill/>
                  </pic:spPr>
                </pic:pic>
              </a:graphicData>
            </a:graphic>
          </wp:anchor>
        </w:drawing>
      </w:r>
    </w:p>
    <w:p>
      <w:pPr>
        <w:spacing w:after="0" w:line="165"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FF"/>
        </w:rPr>
        <w:t>First Amendment to Employment Agreement Between the Company and Jennifer L Slater</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41281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4128135" cy="8255"/>
                    </a:xfrm>
                    <a:prstGeom prst="rect">
                      <a:avLst/>
                    </a:prstGeom>
                    <a:noFill/>
                  </pic:spPr>
                </pic:pic>
              </a:graphicData>
            </a:graphic>
          </wp:anchor>
        </w:drawing>
      </w:r>
    </w:p>
    <w:p>
      <w:pPr>
        <w:spacing w:after="0" w:line="165" w:lineRule="exact"/>
        <w:rPr>
          <w:sz w:val="20"/>
          <w:szCs w:val="20"/>
          <w:color w:val="auto"/>
        </w:rPr>
      </w:pPr>
    </w:p>
    <w:p>
      <w:pPr>
        <w:jc w:val="both"/>
        <w:ind w:left="700" w:right="20" w:hanging="674"/>
        <w:spacing w:after="0" w:line="266" w:lineRule="auto"/>
        <w:tabs>
          <w:tab w:leader="none" w:pos="6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10.4</w:t>
      </w:r>
      <w:r>
        <w:rPr>
          <w:sz w:val="20"/>
          <w:szCs w:val="20"/>
          <w:color w:val="auto"/>
        </w:rPr>
        <w:tab/>
      </w:r>
      <w:hyperlink r:id="rId66">
        <w:r>
          <w:rPr>
            <w:rFonts w:ascii="Times New Roman" w:cs="Times New Roman" w:eastAsia="Times New Roman" w:hAnsi="Times New Roman"/>
            <w:sz w:val="18"/>
            <w:szCs w:val="18"/>
            <w:u w:val="single" w:color="auto"/>
            <w:color w:val="0000FF"/>
          </w:rPr>
          <w:t>Restricted Stock Award Agreement Under the STRATTEC SECURITY CORPORATION 2024 Equity Incentive Plan Between the Company and</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Jennifer L Slater dated as of October 25, 2024 (Incorporated by reference to Exhibit 10.1 to the Current Report on Form 8-K filed on October 31,</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441960</wp:posOffset>
            </wp:positionH>
            <wp:positionV relativeFrom="paragraph">
              <wp:posOffset>-313055</wp:posOffset>
            </wp:positionV>
            <wp:extent cx="66751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-175895</wp:posOffset>
            </wp:positionV>
            <wp:extent cx="6672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672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-38735</wp:posOffset>
            </wp:positionV>
            <wp:extent cx="266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FF"/>
        </w:rPr>
      </w:pPr>
    </w:p>
    <w:p>
      <w:pPr>
        <w:jc w:val="both"/>
        <w:ind w:left="700" w:right="20" w:hanging="674"/>
        <w:spacing w:after="0" w:line="266" w:lineRule="auto"/>
        <w:tabs>
          <w:tab w:leader="none" w:pos="6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10.5</w:t>
      </w:r>
      <w:r>
        <w:rPr>
          <w:sz w:val="20"/>
          <w:szCs w:val="20"/>
          <w:color w:val="auto"/>
        </w:rPr>
        <w:tab/>
      </w:r>
      <w:hyperlink r:id="rId70">
        <w:r>
          <w:rPr>
            <w:rFonts w:ascii="Times New Roman" w:cs="Times New Roman" w:eastAsia="Times New Roman" w:hAnsi="Times New Roman"/>
            <w:sz w:val="18"/>
            <w:szCs w:val="18"/>
            <w:u w:val="single" w:color="auto"/>
            <w:color w:val="0000FF"/>
          </w:rPr>
          <w:t>Restricted Stock Award Agreement Under the STRATTEC SECURITY CORPORATION 2024 Equity Incentive Plan Between the Company and</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Jennifer L Slater dated as of October 25, 2024 (Incorporated by reference to Exhibit 10.2 to the Current Report on Form 8-K filed on October 31,</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441960</wp:posOffset>
            </wp:positionH>
            <wp:positionV relativeFrom="paragraph">
              <wp:posOffset>-313055</wp:posOffset>
            </wp:positionV>
            <wp:extent cx="66751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-175895</wp:posOffset>
            </wp:positionV>
            <wp:extent cx="6672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672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-38735</wp:posOffset>
            </wp:positionV>
            <wp:extent cx="266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FF"/>
        </w:rPr>
      </w:pPr>
    </w:p>
    <w:p>
      <w:pPr>
        <w:jc w:val="both"/>
        <w:ind w:left="700" w:right="20" w:hanging="674"/>
        <w:spacing w:after="0" w:line="266" w:lineRule="auto"/>
        <w:tabs>
          <w:tab w:leader="none" w:pos="6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10.6</w:t>
      </w:r>
      <w:r>
        <w:rPr>
          <w:sz w:val="20"/>
          <w:szCs w:val="20"/>
          <w:color w:val="auto"/>
        </w:rPr>
        <w:tab/>
      </w:r>
      <w:hyperlink r:id="rId74">
        <w:r>
          <w:rPr>
            <w:rFonts w:ascii="Times New Roman" w:cs="Times New Roman" w:eastAsia="Times New Roman" w:hAnsi="Times New Roman"/>
            <w:sz w:val="18"/>
            <w:szCs w:val="18"/>
            <w:u w:val="single" w:color="auto"/>
            <w:color w:val="0000FF"/>
          </w:rPr>
          <w:t>Restricted Stock Award Agreement Under the STRATTEC SECURITY CORPORATION 2024 Equity Incentive Plan Between the Company and</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Jennifer L Slater dated as of October 25, 2024 (Incorporated by reference to Exhibit 10.3 to the Current Report on Form 8-K filed on October 31,</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441960</wp:posOffset>
            </wp:positionH>
            <wp:positionV relativeFrom="paragraph">
              <wp:posOffset>-313055</wp:posOffset>
            </wp:positionV>
            <wp:extent cx="66751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667512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-175895</wp:posOffset>
            </wp:positionV>
            <wp:extent cx="6672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672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-38735</wp:posOffset>
            </wp:positionV>
            <wp:extent cx="266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u w:val="single" w:color="auto"/>
          <w:color w:val="0000FF"/>
        </w:rPr>
      </w:pPr>
    </w:p>
    <w:p>
      <w:pPr>
        <w:jc w:val="both"/>
        <w:ind w:left="700" w:hanging="674"/>
        <w:spacing w:after="0" w:line="312" w:lineRule="auto"/>
        <w:tabs>
          <w:tab w:leader="none" w:pos="6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10.7</w:t>
      </w:r>
      <w:r>
        <w:rPr>
          <w:sz w:val="20"/>
          <w:szCs w:val="20"/>
          <w:color w:val="auto"/>
        </w:rPr>
        <w:tab/>
      </w:r>
      <w:hyperlink r:id="rId78">
        <w:r>
          <w:rPr>
            <w:rFonts w:ascii="Times New Roman" w:cs="Times New Roman" w:eastAsia="Times New Roman" w:hAnsi="Times New Roman"/>
            <w:sz w:val="17"/>
            <w:szCs w:val="17"/>
            <w:u w:val="single" w:color="auto"/>
            <w:color w:val="0000FF"/>
          </w:rPr>
          <w:t>Performance Restricted Stock Unit Award Agreement Under the STRATTEC SECURITY CORPORATION 2024 Equity Incentive Plan Between</w:t>
        </w:r>
      </w:hyperlink>
      <w:r>
        <w:rPr>
          <w:rFonts w:ascii="Times New Roman" w:cs="Times New Roman" w:eastAsia="Times New Roman" w:hAnsi="Times New Roman"/>
          <w:sz w:val="17"/>
          <w:szCs w:val="17"/>
          <w:u w:val="single" w:color="auto"/>
          <w:color w:val="0000FF"/>
        </w:rPr>
        <w:t xml:space="preserve"> </w:t>
      </w:r>
      <w:hyperlink r:id="rId78">
        <w:r>
          <w:rPr>
            <w:rFonts w:ascii="Times New Roman" w:cs="Times New Roman" w:eastAsia="Times New Roman" w:hAnsi="Times New Roman"/>
            <w:sz w:val="17"/>
            <w:szCs w:val="17"/>
            <w:u w:val="single" w:color="auto"/>
            <w:color w:val="0000FF"/>
          </w:rPr>
          <w:t>the Company and Jennifer L Slater (Incorporated by reference to Exhibit 10.4 to the Current Report on Form 8-K filed on October 31, 2024)</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-198755</wp:posOffset>
            </wp:positionV>
            <wp:extent cx="66846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6846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-61595</wp:posOffset>
            </wp:positionV>
            <wp:extent cx="64249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6424930" cy="8255"/>
                    </a:xfrm>
                    <a:prstGeom prst="rect">
                      <a:avLst/>
                    </a:prstGeom>
                    <a:noFill/>
                  </pic:spPr>
                </pic:pic>
              </a:graphicData>
            </a:graphic>
          </wp:anchor>
        </w:drawing>
      </w:r>
    </w:p>
    <w:p>
      <w:pPr>
        <w:spacing w:after="0" w:line="7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Rule 13a-14(a) Certification for Jennifer L. Slater,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34226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3422650" cy="8890"/>
                    </a:xfrm>
                    <a:prstGeom prst="rect">
                      <a:avLst/>
                    </a:prstGeom>
                    <a:noFill/>
                  </pic:spPr>
                </pic:pic>
              </a:graphicData>
            </a:graphic>
          </wp:anchor>
        </w:drawing>
      </w:r>
    </w:p>
    <w:p>
      <w:pPr>
        <w:spacing w:after="0" w:line="165"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Rule 13a-14(a) Certification for Dennis Bowe,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3224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3224530" cy="8255"/>
                    </a:xfrm>
                    <a:prstGeom prst="rect">
                      <a:avLst/>
                    </a:prstGeom>
                    <a:noFill/>
                  </pic:spPr>
                </pic:pic>
              </a:graphicData>
            </a:graphic>
          </wp:anchor>
        </w:drawing>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24"/>
          <w:szCs w:val="24"/>
          <w:color w:val="auto"/>
          <w:vertAlign w:val="superscript"/>
        </w:rPr>
        <w:t>(1)</w:t>
      </w:r>
      <w:r>
        <w:rPr>
          <w:sz w:val="20"/>
          <w:szCs w:val="20"/>
          <w:color w:val="auto"/>
        </w:rPr>
        <w:tab/>
      </w:r>
      <w:r>
        <w:rPr>
          <w:rFonts w:ascii="Times New Roman" w:cs="Times New Roman" w:eastAsia="Times New Roman" w:hAnsi="Times New Roman"/>
          <w:sz w:val="17"/>
          <w:szCs w:val="17"/>
          <w:u w:val="single" w:color="auto"/>
          <w:color w:val="0000FF"/>
        </w:rPr>
        <w:t>18 U.S.C. 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-38735</wp:posOffset>
            </wp:positionV>
            <wp:extent cx="1729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729740" cy="8255"/>
                    </a:xfrm>
                    <a:prstGeom prst="rect">
                      <a:avLst/>
                    </a:prstGeom>
                    <a:noFill/>
                  </pic:spPr>
                </pic:pic>
              </a:graphicData>
            </a:graphic>
          </wp:anchor>
        </w:drawing>
      </w:r>
    </w:p>
    <w:p>
      <w:pPr>
        <w:spacing w:after="0" w:line="116" w:lineRule="exact"/>
        <w:rPr>
          <w:sz w:val="20"/>
          <w:szCs w:val="20"/>
          <w:color w:val="auto"/>
        </w:rPr>
      </w:pPr>
    </w:p>
    <w:p>
      <w:pPr>
        <w:ind w:left="700" w:right="340" w:hanging="679"/>
        <w:spacing w:after="0" w:line="258"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STRATTEC SECURITY CORPORATION's Quarterly Report on Form 10-Q for the fiscal quarter ended September 29, 2024 formatted in XBRL (eXtensible Business Reporting Language) and furnished electronically herewith: (i) Condensed Consolidated Statements of Income and Comprehensive Income; (ii) Condensed Consolidated Balance Sheets; (iii) Condensed Consolidated Statements of Cash Flows; and (iv) Notes to Condensed Consolidated Financial Statements. XBRL Instance Document – the XBRL Instance Document does not appear in the Interactive Data File because its XBRL tags are embedded within the Inline XBRL document.</w:t>
      </w:r>
    </w:p>
    <w:p>
      <w:pPr>
        <w:spacing w:after="0" w:line="143" w:lineRule="exact"/>
        <w:rPr>
          <w:sz w:val="20"/>
          <w:szCs w:val="20"/>
          <w:color w:val="auto"/>
        </w:rPr>
      </w:pPr>
    </w:p>
    <w:p>
      <w:pPr>
        <w:ind w:left="700" w:right="500" w:hanging="679"/>
        <w:spacing w:after="0" w:line="282"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29, 2024, formatted in Inline XBRL (included in Exhibit 101).</w:t>
      </w:r>
    </w:p>
    <w:p>
      <w:pPr>
        <w:spacing w:after="0" w:line="2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258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7" w:lineRule="exact"/>
        <w:rPr>
          <w:sz w:val="20"/>
          <w:szCs w:val="20"/>
          <w:color w:val="auto"/>
        </w:rPr>
      </w:pPr>
    </w:p>
    <w:p>
      <w:pPr>
        <w:ind w:right="80" w:firstLine="8"/>
        <w:spacing w:after="0" w:line="219" w:lineRule="auto"/>
        <w:tabs>
          <w:tab w:leader="none" w:pos="36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is not “filed” for purposes of Section 18 of the Securities Exchange Act of 1934, as amended, or incorporated by reference into any filing under the Securities Act of 1933, as amended, or the Securities Exchange Act of 1934, as amended.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6" w:name="page27"/>
    <w:bookmarkEnd w:id="26"/>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STRATTEC SECURITY CORPORATION (Registrant)</w:t>
      </w:r>
    </w:p>
    <w:p>
      <w:pPr>
        <w:spacing w:after="0" w:line="306" w:lineRule="exact"/>
        <w:rPr>
          <w:sz w:val="20"/>
          <w:szCs w:val="20"/>
          <w:color w:val="auto"/>
        </w:rPr>
      </w:pPr>
    </w:p>
    <w:p>
      <w:pPr>
        <w:ind w:left="20"/>
        <w:spacing w:after="0"/>
        <w:tabs>
          <w:tab w:leader="none" w:pos="6480" w:val="left"/>
          <w:tab w:leader="none" w:pos="692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tab/>
        <w:t>/s/ Dennis Bowe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26035</wp:posOffset>
            </wp:positionV>
            <wp:extent cx="2734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Dennis Bowe</w:t>
      </w:r>
    </w:p>
    <w:p>
      <w:pPr>
        <w:spacing w:after="0" w:line="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Vice President,</w:t>
      </w:r>
    </w:p>
    <w:p>
      <w:pPr>
        <w:spacing w:after="0" w:line="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Treasurer and Secretary</w:t>
      </w:r>
    </w:p>
    <w:p>
      <w:pPr>
        <w:spacing w:after="0" w:line="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2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97" w:right="7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1840" w:right="2940"/>
        <w:spacing w:after="0" w:line="260" w:lineRule="auto"/>
        <w:rPr>
          <w:sz w:val="20"/>
          <w:szCs w:val="20"/>
          <w:color w:val="auto"/>
        </w:rPr>
      </w:pPr>
      <w:r>
        <w:rPr>
          <w:rFonts w:ascii="Times New Roman" w:cs="Times New Roman" w:eastAsia="Times New Roman" w:hAnsi="Times New Roman"/>
          <w:sz w:val="29"/>
          <w:szCs w:val="29"/>
          <w:b w:val="1"/>
          <w:bCs w:val="1"/>
          <w:color w:val="auto"/>
        </w:rPr>
        <w:t>STRATTEC SECURITY CORPORATION Short Term Incentive Plan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995045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STRATTEC SECURITY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SHORT TERM INCENTIVE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(FISCAL YEAR 2025)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Bonus For:</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color w:val="auto"/>
        </w:rPr>
        <w:t>Executive Officers</w:t>
      </w:r>
    </w:p>
    <w:p>
      <w:pPr>
        <w:spacing w:after="0" w:line="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color w:val="auto"/>
        </w:rPr>
        <w:t>Designated Senior Managers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60" w:type="dxa"/>
            <w:vAlign w:val="bottom"/>
          </w:tcPr>
          <w:p>
            <w:pPr>
              <w:spacing w:after="0"/>
              <w:rPr>
                <w:sz w:val="24"/>
                <w:szCs w:val="24"/>
                <w:color w:val="auto"/>
              </w:rPr>
            </w:pPr>
          </w:p>
        </w:tc>
        <w:tc>
          <w:tcPr>
            <w:tcW w:w="8100" w:type="dxa"/>
            <w:vAlign w:val="bottom"/>
          </w:tcPr>
          <w:p>
            <w:pPr>
              <w:ind w:left="3860"/>
              <w:spacing w:after="0"/>
              <w:rPr>
                <w:sz w:val="20"/>
                <w:szCs w:val="20"/>
                <w:color w:val="auto"/>
              </w:rPr>
            </w:pPr>
            <w:r>
              <w:rPr>
                <w:rFonts w:ascii="Times New Roman" w:cs="Times New Roman" w:eastAsia="Times New Roman" w:hAnsi="Times New Roman"/>
                <w:sz w:val="22"/>
                <w:szCs w:val="22"/>
                <w:color w:val="auto"/>
              </w:rPr>
              <w:t>TABLE OF CONTENTS</w:t>
            </w:r>
          </w:p>
        </w:tc>
        <w:tc>
          <w:tcPr>
            <w:tcW w:w="2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2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w:t>
            </w:r>
          </w:p>
        </w:tc>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PLAN OBJECTIVES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486"/>
        </w:trPr>
        <w:tc>
          <w:tcPr>
            <w:tcW w:w="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II.</w:t>
            </w:r>
          </w:p>
        </w:tc>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PLAN ADMINISTRATION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486"/>
        </w:trPr>
        <w:tc>
          <w:tcPr>
            <w:tcW w:w="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III.</w:t>
            </w:r>
          </w:p>
        </w:tc>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DEFINITIONS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486"/>
        </w:trPr>
        <w:tc>
          <w:tcPr>
            <w:tcW w:w="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IV.</w:t>
            </w:r>
          </w:p>
        </w:tc>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ELIGIBILITY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486"/>
        </w:trPr>
        <w:tc>
          <w:tcPr>
            <w:tcW w:w="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w:t>
            </w:r>
          </w:p>
        </w:tc>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INDIVIDUAL PARTICIPATION LEVELS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486"/>
        </w:trPr>
        <w:tc>
          <w:tcPr>
            <w:tcW w:w="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w:t>
            </w:r>
          </w:p>
        </w:tc>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PERFORMANCE FACTORS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486"/>
        </w:trPr>
        <w:tc>
          <w:tcPr>
            <w:tcW w:w="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VII.</w:t>
            </w:r>
          </w:p>
        </w:tc>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CHANGE IN STATUS DURING THE PLAN YEAR</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486"/>
        </w:trPr>
        <w:tc>
          <w:tcPr>
            <w:tcW w:w="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VIII.</w:t>
            </w:r>
          </w:p>
        </w:tc>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BONUS PAYMENT</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486"/>
        </w:trPr>
        <w:tc>
          <w:tcPr>
            <w:tcW w:w="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IX.</w:t>
            </w:r>
          </w:p>
        </w:tc>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ADMINISTRATIVE PROVISIONS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486"/>
        </w:trPr>
        <w:tc>
          <w:tcPr>
            <w:tcW w:w="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X.</w:t>
            </w:r>
          </w:p>
        </w:tc>
        <w:tc>
          <w:tcPr>
            <w:tcW w:w="8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MISCELLANEOUS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061"/>
        </w:trPr>
        <w:tc>
          <w:tcPr>
            <w:tcW w:w="66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left="440" w:hanging="432"/>
        <w:spacing w:after="0"/>
        <w:tabs>
          <w:tab w:leader="none" w:pos="4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OBJECTIVES</w:t>
      </w:r>
      <w:r>
        <w:rPr>
          <w:rFonts w:ascii="Times New Roman" w:cs="Times New Roman" w:eastAsia="Times New Roman" w:hAnsi="Times New Roman"/>
          <w:sz w:val="22"/>
          <w:szCs w:val="22"/>
          <w:color w:val="auto"/>
        </w:rPr>
        <w:t xml:space="preserve"> TC "I. PLAN OBJECTIVES" \f C \l "1"</w:t>
      </w:r>
    </w:p>
    <w:p>
      <w:pPr>
        <w:spacing w:after="0" w:line="206" w:lineRule="exact"/>
        <w:rPr>
          <w:sz w:val="20"/>
          <w:szCs w:val="20"/>
          <w:color w:val="auto"/>
        </w:rPr>
      </w:pPr>
    </w:p>
    <w:p>
      <w:pPr>
        <w:ind w:right="640" w:firstLine="749"/>
        <w:spacing w:after="0" w:line="258" w:lineRule="auto"/>
        <w:rPr>
          <w:sz w:val="20"/>
          <w:szCs w:val="20"/>
          <w:color w:val="auto"/>
        </w:rPr>
      </w:pPr>
      <w:r>
        <w:rPr>
          <w:rFonts w:ascii="Times New Roman" w:cs="Times New Roman" w:eastAsia="Times New Roman" w:hAnsi="Times New Roman"/>
          <w:sz w:val="22"/>
          <w:szCs w:val="22"/>
          <w:color w:val="auto"/>
        </w:rPr>
        <w:t>The overall objectives of the STRATTEC SECURITY CORPORATION Short Term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STIP</w:t>
      </w:r>
      <w:r>
        <w:rPr>
          <w:rFonts w:ascii="Times New Roman" w:cs="Times New Roman" w:eastAsia="Times New Roman" w:hAnsi="Times New Roman"/>
          <w:sz w:val="22"/>
          <w:szCs w:val="22"/>
          <w:color w:val="auto"/>
        </w:rPr>
        <w:t>”) are :</w:t>
      </w:r>
    </w:p>
    <w:p>
      <w:pPr>
        <w:spacing w:after="0" w:line="158" w:lineRule="exact"/>
        <w:rPr>
          <w:sz w:val="20"/>
          <w:szCs w:val="20"/>
          <w:color w:val="auto"/>
        </w:rPr>
      </w:pPr>
    </w:p>
    <w:p>
      <w:pPr>
        <w:ind w:left="1500" w:right="320" w:hanging="690"/>
        <w:spacing w:after="0" w:line="244" w:lineRule="auto"/>
        <w:tabs>
          <w:tab w:leader="none" w:pos="1237"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incentive compensation to Executive Officers and Senior Managers of STRATTEC SECURITY CORPORATION and certain of its subsidiaries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designed to financially reward participants for increasing overall corporate and shareholder value.</w:t>
      </w:r>
    </w:p>
    <w:p>
      <w:pPr>
        <w:spacing w:after="0" w:line="173" w:lineRule="exact"/>
        <w:rPr>
          <w:rFonts w:ascii="Times New Roman" w:cs="Times New Roman" w:eastAsia="Times New Roman" w:hAnsi="Times New Roman"/>
          <w:sz w:val="22"/>
          <w:szCs w:val="22"/>
          <w:color w:val="auto"/>
        </w:rPr>
      </w:pPr>
    </w:p>
    <w:p>
      <w:pPr>
        <w:ind w:left="1500" w:right="320" w:hanging="690"/>
        <w:spacing w:after="0" w:line="258" w:lineRule="auto"/>
        <w:tabs>
          <w:tab w:leader="none" w:pos="1237"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competitive levels of compensation that enable the Company to attract and retain key talent who can positively impact overall corporate and shareholder value.</w:t>
      </w:r>
    </w:p>
    <w:p>
      <w:pPr>
        <w:spacing w:after="0" w:line="158" w:lineRule="exact"/>
        <w:rPr>
          <w:rFonts w:ascii="Times New Roman" w:cs="Times New Roman" w:eastAsia="Times New Roman" w:hAnsi="Times New Roman"/>
          <w:sz w:val="22"/>
          <w:szCs w:val="22"/>
          <w:color w:val="auto"/>
        </w:rPr>
      </w:pPr>
    </w:p>
    <w:p>
      <w:pPr>
        <w:ind w:left="1500" w:right="440" w:hanging="690"/>
        <w:spacing w:after="0" w:line="258" w:lineRule="auto"/>
        <w:tabs>
          <w:tab w:leader="none" w:pos="1237"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encourage teamwork and cooperation in the achievement of Company near and long goals with appropriate sensitivity to a balance of risks and rewards.</w:t>
      </w:r>
    </w:p>
    <w:p>
      <w:pPr>
        <w:spacing w:after="0" w:line="158"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ADMINISTRATION</w:t>
      </w:r>
      <w:r>
        <w:rPr>
          <w:rFonts w:ascii="Times New Roman" w:cs="Times New Roman" w:eastAsia="Times New Roman" w:hAnsi="Times New Roman"/>
          <w:sz w:val="22"/>
          <w:szCs w:val="22"/>
          <w:color w:val="auto"/>
        </w:rPr>
        <w:t xml:space="preserve"> TC "II.   PLAN ADMINISTRATION" \f C \l "1"</w:t>
      </w:r>
    </w:p>
    <w:p>
      <w:pPr>
        <w:spacing w:after="0" w:line="206" w:lineRule="exact"/>
        <w:rPr>
          <w:rFonts w:ascii="Times New Roman" w:cs="Times New Roman" w:eastAsia="Times New Roman" w:hAnsi="Times New Roman"/>
          <w:sz w:val="22"/>
          <w:szCs w:val="22"/>
          <w:color w:val="auto"/>
        </w:rPr>
      </w:pPr>
    </w:p>
    <w:p>
      <w:pPr>
        <w:ind w:left="1500" w:hanging="690"/>
        <w:spacing w:after="0" w:line="235" w:lineRule="auto"/>
        <w:tabs>
          <w:tab w:leader="none" w:pos="123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of the Board of Directors of the Company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shall be responsible for the design, administration, and interpretation of the Plan. The Compensation Committee shall have full and complete authority, in its sole and absolute discretion, (i) to exercise all of the powers granted to it under the Plan, (ii) to construe, interpret and implement the Plan and any related document, (iii) to prescribe, amend and rescind rules relating to the Plan, (iv) to make all determinations necessary or advisable in administering the Plan, and (v) to correct any defect, supply any omission and reconcile any inconsistency in the Plan.</w:t>
      </w:r>
    </w:p>
    <w:p>
      <w:pPr>
        <w:spacing w:after="0" w:line="183" w:lineRule="exact"/>
        <w:rPr>
          <w:rFonts w:ascii="Times New Roman" w:cs="Times New Roman" w:eastAsia="Times New Roman" w:hAnsi="Times New Roman"/>
          <w:sz w:val="22"/>
          <w:szCs w:val="22"/>
          <w:color w:val="auto"/>
        </w:rPr>
      </w:pPr>
    </w:p>
    <w:p>
      <w:pPr>
        <w:ind w:left="1500" w:right="20" w:hanging="690"/>
        <w:spacing w:after="0" w:line="239" w:lineRule="auto"/>
        <w:tabs>
          <w:tab w:leader="none" w:pos="123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actions and determinations of the Compensation Committee or others to whom authority is delegated under the Plan on all matters relating to the Plan and any awards issued hereunder shall be final and conclusive. Such determinations need not be uniform and may be made selectively among persons who receive, or are eligible to receive, such awards under the Plan, whether or not such persons are similarly situated.</w:t>
      </w:r>
    </w:p>
    <w:p>
      <w:pPr>
        <w:spacing w:after="0" w:line="180" w:lineRule="exact"/>
        <w:rPr>
          <w:rFonts w:ascii="Times New Roman" w:cs="Times New Roman" w:eastAsia="Times New Roman" w:hAnsi="Times New Roman"/>
          <w:sz w:val="22"/>
          <w:szCs w:val="22"/>
          <w:color w:val="auto"/>
        </w:rPr>
      </w:pPr>
    </w:p>
    <w:p>
      <w:pPr>
        <w:ind w:left="1500" w:right="100" w:hanging="690"/>
        <w:spacing w:after="0" w:line="239" w:lineRule="auto"/>
        <w:tabs>
          <w:tab w:leader="none" w:pos="123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may engage such accountants, attorneys, and other experts as it deems necessary or desirable in connection with the administration of the Plan. The Company shall pay all reasonable expenses of administering the Plan, including, but not limited to, the payment of any such professional and expert fees of individuals and entities retained under the Plan by the Compensation Committee.</w:t>
      </w:r>
    </w:p>
    <w:p>
      <w:pPr>
        <w:spacing w:after="0" w:line="180" w:lineRule="exact"/>
        <w:rPr>
          <w:rFonts w:ascii="Times New Roman" w:cs="Times New Roman" w:eastAsia="Times New Roman" w:hAnsi="Times New Roman"/>
          <w:sz w:val="22"/>
          <w:szCs w:val="22"/>
          <w:color w:val="auto"/>
        </w:rPr>
      </w:pPr>
    </w:p>
    <w:p>
      <w:pPr>
        <w:ind w:left="1500" w:right="360" w:hanging="690"/>
        <w:spacing w:after="0" w:line="244" w:lineRule="auto"/>
        <w:tabs>
          <w:tab w:leader="none" w:pos="123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may delegate to others the authority to execute and deliver such instruments and documents, to do all such acts and things, and to take all such other steps deemed necessary, advisable or convenient for the effective administration of the Plan in accordance with its terms and purposes.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ind w:left="1492" w:right="200" w:hanging="690"/>
        <w:spacing w:after="0" w:line="244" w:lineRule="auto"/>
        <w:tabs>
          <w:tab w:leader="none" w:pos="1229"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and others to whom the Compensation Committee has delegated such duties shall keep a record of all their proceedings and actions and shall maintain all such books of account, records and other data as shall be necessary for the proper administration of the Plan.</w:t>
      </w:r>
    </w:p>
    <w:p>
      <w:pPr>
        <w:spacing w:after="0" w:line="173" w:lineRule="exact"/>
        <w:rPr>
          <w:rFonts w:ascii="Times New Roman" w:cs="Times New Roman" w:eastAsia="Times New Roman" w:hAnsi="Times New Roman"/>
          <w:sz w:val="22"/>
          <w:szCs w:val="22"/>
          <w:color w:val="auto"/>
        </w:rPr>
      </w:pPr>
    </w:p>
    <w:p>
      <w:pPr>
        <w:ind w:left="432" w:hanging="432"/>
        <w:spacing w:after="0"/>
        <w:tabs>
          <w:tab w:leader="none" w:pos="43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TC "III. DEFINITIONS" \f C \l "1"</w:t>
      </w:r>
    </w:p>
    <w:p>
      <w:pPr>
        <w:spacing w:after="0" w:line="20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In addition to the terms defined elsewhere herein, the following terms shall have the following meanings:</w:t>
      </w:r>
    </w:p>
    <w:p>
      <w:pPr>
        <w:spacing w:after="0" w:line="206" w:lineRule="exact"/>
        <w:rPr>
          <w:sz w:val="20"/>
          <w:szCs w:val="20"/>
          <w:color w:val="auto"/>
        </w:rPr>
      </w:pPr>
    </w:p>
    <w:p>
      <w:pPr>
        <w:ind w:left="1232" w:hanging="430"/>
        <w:spacing w:after="0"/>
        <w:tabs>
          <w:tab w:leader="none" w:pos="123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Bonus</w:t>
      </w:r>
      <w:r>
        <w:rPr>
          <w:rFonts w:ascii="Times New Roman" w:cs="Times New Roman" w:eastAsia="Times New Roman" w:hAnsi="Times New Roman"/>
          <w:sz w:val="22"/>
          <w:szCs w:val="22"/>
          <w:color w:val="auto"/>
        </w:rPr>
        <w:t>” means the bonus, which is calculated in the manner set forth in Section V.A. below.</w:t>
      </w:r>
    </w:p>
    <w:p>
      <w:pPr>
        <w:spacing w:after="0" w:line="206" w:lineRule="exact"/>
        <w:rPr>
          <w:rFonts w:ascii="Times New Roman" w:cs="Times New Roman" w:eastAsia="Times New Roman" w:hAnsi="Times New Roman"/>
          <w:sz w:val="22"/>
          <w:szCs w:val="22"/>
          <w:color w:val="auto"/>
        </w:rPr>
      </w:pPr>
    </w:p>
    <w:p>
      <w:pPr>
        <w:ind w:left="1492" w:right="100" w:hanging="690"/>
        <w:spacing w:after="0" w:line="234" w:lineRule="auto"/>
        <w:tabs>
          <w:tab w:leader="none" w:pos="122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STIP Performance</w:t>
      </w:r>
      <w:r>
        <w:rPr>
          <w:rFonts w:ascii="Times New Roman" w:cs="Times New Roman" w:eastAsia="Times New Roman" w:hAnsi="Times New Roman"/>
          <w:sz w:val="22"/>
          <w:szCs w:val="22"/>
          <w:color w:val="auto"/>
        </w:rPr>
        <w:t>” means, for the Company on a consolidated basis and in accordance with U.S. generally accepted accounting principles, pre-tax income, prior to any bonus payments, any provision for bonuses or any accrual reversals for bonuses, and after adjusting for non-controlling interests and also adjusted for other unusual income or expense items, all as determined by the Compensation Committee from the Company’s annual consolidated financial statements. By way of clarification, Actual STIP Performance and Target STIP shall each be determined and/or set prior to taking into account any accruals or payments for bonuses earned (or any reversals for over accrual of bonuses) under this Plan, any similar team incentive plan adopted by the Company (or any successor such bonus plan) or other discretionary bonus payments earned or accrued.</w:t>
      </w:r>
    </w:p>
    <w:p>
      <w:pPr>
        <w:spacing w:after="0" w:line="183" w:lineRule="exact"/>
        <w:rPr>
          <w:rFonts w:ascii="Times New Roman" w:cs="Times New Roman" w:eastAsia="Times New Roman" w:hAnsi="Times New Roman"/>
          <w:sz w:val="22"/>
          <w:szCs w:val="22"/>
          <w:color w:val="auto"/>
        </w:rPr>
      </w:pPr>
    </w:p>
    <w:p>
      <w:pPr>
        <w:ind w:left="1492" w:right="80" w:hanging="690"/>
        <w:spacing w:after="0" w:line="258" w:lineRule="auto"/>
        <w:tabs>
          <w:tab w:leader="none" w:pos="122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 and as interpreted by applicable regulations and rulings.</w:t>
      </w:r>
    </w:p>
    <w:p>
      <w:pPr>
        <w:spacing w:after="0" w:line="158" w:lineRule="exact"/>
        <w:rPr>
          <w:rFonts w:ascii="Times New Roman" w:cs="Times New Roman" w:eastAsia="Times New Roman" w:hAnsi="Times New Roman"/>
          <w:sz w:val="22"/>
          <w:szCs w:val="22"/>
          <w:color w:val="auto"/>
        </w:rPr>
      </w:pPr>
    </w:p>
    <w:p>
      <w:pPr>
        <w:ind w:left="1232" w:hanging="430"/>
        <w:spacing w:after="0"/>
        <w:tabs>
          <w:tab w:leader="none" w:pos="123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STRATTEC SECURITY CORPORATION.</w:t>
      </w:r>
    </w:p>
    <w:p>
      <w:pPr>
        <w:spacing w:after="0" w:line="206" w:lineRule="exact"/>
        <w:rPr>
          <w:rFonts w:ascii="Times New Roman" w:cs="Times New Roman" w:eastAsia="Times New Roman" w:hAnsi="Times New Roman"/>
          <w:sz w:val="22"/>
          <w:szCs w:val="22"/>
          <w:color w:val="auto"/>
        </w:rPr>
      </w:pPr>
    </w:p>
    <w:p>
      <w:pPr>
        <w:ind w:left="1232" w:hanging="430"/>
        <w:spacing w:after="0"/>
        <w:tabs>
          <w:tab w:leader="none" w:pos="123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Earned Wages</w:t>
      </w:r>
      <w:r>
        <w:rPr>
          <w:rFonts w:ascii="Times New Roman" w:cs="Times New Roman" w:eastAsia="Times New Roman" w:hAnsi="Times New Roman"/>
          <w:sz w:val="22"/>
          <w:szCs w:val="22"/>
          <w:color w:val="auto"/>
        </w:rPr>
        <w:t>” means:</w:t>
      </w:r>
    </w:p>
    <w:p>
      <w:pPr>
        <w:spacing w:after="0" w:line="206" w:lineRule="exact"/>
        <w:rPr>
          <w:rFonts w:ascii="Times New Roman" w:cs="Times New Roman" w:eastAsia="Times New Roman" w:hAnsi="Times New Roman"/>
          <w:sz w:val="22"/>
          <w:szCs w:val="22"/>
          <w:color w:val="auto"/>
        </w:rPr>
      </w:pPr>
    </w:p>
    <w:p>
      <w:pPr>
        <w:ind w:left="2252" w:hanging="754"/>
        <w:spacing w:after="0" w:line="238" w:lineRule="auto"/>
        <w:tabs>
          <w:tab w:leader="none" w:pos="1935"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Participants who are employed by the Company and STRATTEC POWER ACCESS LLC, all wages paid to or on account of such Participant in the Plan Year, but excluding employment signing bonuses, STIP or other annual incentive bonus payments, reimbursement and other expense allowances, imputed income, the value of fringe benefits (whether cash or non-cash), moving reimbursements, accrued vacation, medical leave, welfare benefits and other special payments.</w:t>
      </w:r>
    </w:p>
    <w:p>
      <w:pPr>
        <w:spacing w:after="0" w:line="176" w:lineRule="exact"/>
        <w:rPr>
          <w:rFonts w:ascii="Times New Roman" w:cs="Times New Roman" w:eastAsia="Times New Roman" w:hAnsi="Times New Roman"/>
          <w:sz w:val="22"/>
          <w:szCs w:val="22"/>
          <w:color w:val="auto"/>
        </w:rPr>
      </w:pPr>
    </w:p>
    <w:p>
      <w:pPr>
        <w:ind w:left="2252" w:right="40" w:hanging="754"/>
        <w:spacing w:after="0" w:line="251" w:lineRule="auto"/>
        <w:tabs>
          <w:tab w:leader="none" w:pos="1935"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Participants who are employed by STRATTEC de Mexico S.A. de C.V., such Participant’s “</w:t>
      </w:r>
      <w:r>
        <w:rPr>
          <w:rFonts w:ascii="Times New Roman" w:cs="Times New Roman" w:eastAsia="Times New Roman" w:hAnsi="Times New Roman"/>
          <w:sz w:val="21"/>
          <w:szCs w:val="21"/>
          <w:u w:val="single" w:color="auto"/>
          <w:color w:val="auto"/>
        </w:rPr>
        <w:t>Base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for such Participant means all payments in respect of such Participant’s regular salary, holidays and vacations which were paid during the Plan Year. Base Salary does not include any overtime pay, profit sharing contributions, Christmas bonuses, vacation premiums, signing bonuses, STIP or other bonus payments, reimbursements and other expense allowances, imputed</w:t>
      </w:r>
    </w:p>
    <w:p>
      <w:pPr>
        <w:spacing w:after="0" w:line="200" w:lineRule="exact"/>
        <w:rPr>
          <w:sz w:val="20"/>
          <w:szCs w:val="20"/>
          <w:color w:val="auto"/>
        </w:rPr>
      </w:pPr>
    </w:p>
    <w:p>
      <w:pPr>
        <w:spacing w:after="0" w:line="37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08" w:right="379" w:bottom="1440" w:gutter="0" w:footer="0" w:header="0"/>
        </w:sectPr>
      </w:pPr>
    </w:p>
    <w:bookmarkStart w:id="31" w:name="page32"/>
    <w:bookmarkEnd w:id="31"/>
    <w:p>
      <w:pPr>
        <w:ind w:left="2260" w:right="420"/>
        <w:spacing w:after="0" w:line="258" w:lineRule="auto"/>
        <w:rPr>
          <w:sz w:val="20"/>
          <w:szCs w:val="20"/>
          <w:color w:val="auto"/>
        </w:rPr>
      </w:pPr>
      <w:r>
        <w:rPr>
          <w:rFonts w:ascii="Times New Roman" w:cs="Times New Roman" w:eastAsia="Times New Roman" w:hAnsi="Times New Roman"/>
          <w:sz w:val="22"/>
          <w:szCs w:val="22"/>
          <w:color w:val="auto"/>
        </w:rPr>
        <w:t>income, the value of fringe benefits (whether cash or non-cash), moving reimbursements and other special payments.</w:t>
      </w:r>
    </w:p>
    <w:p>
      <w:pPr>
        <w:spacing w:after="0" w:line="158" w:lineRule="exact"/>
        <w:rPr>
          <w:sz w:val="20"/>
          <w:szCs w:val="20"/>
          <w:color w:val="auto"/>
        </w:rPr>
      </w:pPr>
    </w:p>
    <w:p>
      <w:pPr>
        <w:ind w:left="1240" w:hanging="430"/>
        <w:spacing w:after="0"/>
        <w:tabs>
          <w:tab w:leader="none" w:pos="12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July 1, 2024. This Plan is amended and restated as of October 22, 2024.</w:t>
      </w:r>
    </w:p>
    <w:p>
      <w:pPr>
        <w:spacing w:after="0" w:line="206" w:lineRule="exact"/>
        <w:rPr>
          <w:rFonts w:ascii="Times New Roman" w:cs="Times New Roman" w:eastAsia="Times New Roman" w:hAnsi="Times New Roman"/>
          <w:sz w:val="22"/>
          <w:szCs w:val="22"/>
          <w:color w:val="auto"/>
        </w:rPr>
      </w:pPr>
    </w:p>
    <w:p>
      <w:pPr>
        <w:ind w:left="1500" w:right="260" w:hanging="690"/>
        <w:spacing w:after="0" w:line="258" w:lineRule="auto"/>
        <w:tabs>
          <w:tab w:leader="none" w:pos="123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those Participants who are designated as Senior Managers or Executive Officers annually by the Compensation Committee of the Board of Directors with respect to any Plan Year.</w:t>
      </w:r>
    </w:p>
    <w:p>
      <w:pPr>
        <w:spacing w:after="0" w:line="158"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any individual who has satisfied the eligibility requirements of the Plan as provided in Section</w:t>
      </w:r>
    </w:p>
    <w:p>
      <w:pPr>
        <w:spacing w:after="0" w:line="25" w:lineRule="exact"/>
        <w:rPr>
          <w:rFonts w:ascii="Times New Roman" w:cs="Times New Roman" w:eastAsia="Times New Roman" w:hAnsi="Times New Roman"/>
          <w:sz w:val="21"/>
          <w:szCs w:val="21"/>
          <w:color w:val="auto"/>
        </w:rPr>
      </w:pPr>
    </w:p>
    <w:p>
      <w:pPr>
        <w:ind w:left="1500" w:right="30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IV. below and who is selected for participation in the Plan by the Compensation Committee during such Plan Year.</w:t>
      </w:r>
    </w:p>
    <w:p>
      <w:pPr>
        <w:spacing w:after="0" w:line="178" w:lineRule="exact"/>
        <w:rPr>
          <w:rFonts w:ascii="Times New Roman" w:cs="Times New Roman" w:eastAsia="Times New Roman" w:hAnsi="Times New Roman"/>
          <w:sz w:val="21"/>
          <w:szCs w:val="21"/>
          <w:color w:val="auto"/>
        </w:rPr>
      </w:pPr>
    </w:p>
    <w:p>
      <w:pPr>
        <w:ind w:left="1500" w:right="920" w:hanging="690"/>
        <w:spacing w:after="0" w:line="282" w:lineRule="auto"/>
        <w:tabs>
          <w:tab w:leader="none" w:pos="1237"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STRATTEC SECURITY CORPORATION Short Term Incentive Plan which has been established by the Company for participation by executive officers and designated senior managers.</w:t>
      </w:r>
    </w:p>
    <w:p>
      <w:pPr>
        <w:spacing w:after="0" w:line="135" w:lineRule="exact"/>
        <w:rPr>
          <w:sz w:val="20"/>
          <w:szCs w:val="20"/>
          <w:color w:val="auto"/>
        </w:rPr>
      </w:pPr>
    </w:p>
    <w:p>
      <w:pPr>
        <w:ind w:left="1240" w:hanging="430"/>
        <w:spacing w:after="0"/>
        <w:tabs>
          <w:tab w:leader="none" w:pos="12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means the one-year period coincident with the Company’s fiscal year.</w:t>
      </w:r>
    </w:p>
    <w:p>
      <w:pPr>
        <w:spacing w:after="0" w:line="206" w:lineRule="exact"/>
        <w:rPr>
          <w:sz w:val="20"/>
          <w:szCs w:val="20"/>
          <w:color w:val="auto"/>
        </w:rPr>
      </w:pPr>
    </w:p>
    <w:p>
      <w:pPr>
        <w:ind w:left="1500" w:right="280" w:hanging="690"/>
        <w:spacing w:after="0" w:line="258" w:lineRule="auto"/>
        <w:tabs>
          <w:tab w:leader="none" w:pos="123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Incentive Award</w:t>
      </w:r>
      <w:r>
        <w:rPr>
          <w:rFonts w:ascii="Times New Roman" w:cs="Times New Roman" w:eastAsia="Times New Roman" w:hAnsi="Times New Roman"/>
          <w:sz w:val="22"/>
          <w:szCs w:val="22"/>
          <w:color w:val="auto"/>
        </w:rPr>
        <w:t>” means the target bonus award level each Participant is eligible to receive and which is equal to a percentage of Earned Wages for such Participant.</w:t>
      </w:r>
    </w:p>
    <w:p>
      <w:pPr>
        <w:spacing w:after="0" w:line="158" w:lineRule="exact"/>
        <w:rPr>
          <w:rFonts w:ascii="Times New Roman" w:cs="Times New Roman" w:eastAsia="Times New Roman" w:hAnsi="Times New Roman"/>
          <w:sz w:val="22"/>
          <w:szCs w:val="22"/>
          <w:color w:val="auto"/>
        </w:rPr>
      </w:pPr>
    </w:p>
    <w:p>
      <w:pPr>
        <w:ind w:left="1500" w:hanging="690"/>
        <w:spacing w:after="0" w:line="239" w:lineRule="auto"/>
        <w:tabs>
          <w:tab w:leader="none" w:pos="123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STIP</w:t>
      </w:r>
      <w:r>
        <w:rPr>
          <w:rFonts w:ascii="Times New Roman" w:cs="Times New Roman" w:eastAsia="Times New Roman" w:hAnsi="Times New Roman"/>
          <w:sz w:val="22"/>
          <w:szCs w:val="22"/>
          <w:color w:val="auto"/>
        </w:rPr>
        <w:t>” means the Target Incentive Award level and target Actual STIP Performance amount established under this Plan by the Compensation Committee for the Plan Year (See Section VI.A. below) and, with respect to the target Actual STIP Performance amount, shall be calculated and determined in the manner consistent with the definition of Actual STIP Performance.</w:t>
      </w:r>
    </w:p>
    <w:p>
      <w:pPr>
        <w:spacing w:after="0" w:line="18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1"/>
          <w:szCs w:val="21"/>
          <w:u w:val="single" w:color="auto"/>
          <w:color w:val="auto"/>
        </w:rPr>
        <w:t xml:space="preserve">ELIGIBILITY </w:t>
      </w:r>
      <w:r>
        <w:rPr>
          <w:rFonts w:ascii="Times New Roman" w:cs="Times New Roman" w:eastAsia="Times New Roman" w:hAnsi="Times New Roman"/>
          <w:sz w:val="21"/>
          <w:szCs w:val="21"/>
          <w:color w:val="auto"/>
        </w:rPr>
        <w:t>TC "IV.  ELIGIBILITY" \f C \l "1"</w:t>
      </w:r>
    </w:p>
    <w:p>
      <w:pPr>
        <w:spacing w:after="0" w:line="206" w:lineRule="exact"/>
        <w:rPr>
          <w:sz w:val="20"/>
          <w:szCs w:val="20"/>
          <w:color w:val="auto"/>
        </w:rPr>
      </w:pPr>
    </w:p>
    <w:p>
      <w:pPr>
        <w:ind w:left="1500" w:right="380" w:hanging="690"/>
        <w:spacing w:after="0" w:line="258" w:lineRule="auto"/>
        <w:tabs>
          <w:tab w:leader="none" w:pos="123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Positions:</w:t>
      </w:r>
      <w:r>
        <w:rPr>
          <w:rFonts w:ascii="Times New Roman" w:cs="Times New Roman" w:eastAsia="Times New Roman" w:hAnsi="Times New Roman"/>
          <w:sz w:val="22"/>
          <w:szCs w:val="22"/>
          <w:color w:val="auto"/>
        </w:rPr>
        <w:t xml:space="preserve"> Executive Officers and Senior Managers selected annually by the Compensation Committee may be eligible for participation in the Plan.</w:t>
      </w:r>
    </w:p>
    <w:p>
      <w:pPr>
        <w:spacing w:after="0" w:line="158" w:lineRule="exact"/>
        <w:rPr>
          <w:rFonts w:ascii="Times New Roman" w:cs="Times New Roman" w:eastAsia="Times New Roman" w:hAnsi="Times New Roman"/>
          <w:sz w:val="22"/>
          <w:szCs w:val="22"/>
          <w:color w:val="auto"/>
        </w:rPr>
      </w:pPr>
    </w:p>
    <w:p>
      <w:pPr>
        <w:ind w:left="1500" w:right="60" w:hanging="690"/>
        <w:spacing w:after="0" w:line="239" w:lineRule="auto"/>
        <w:tabs>
          <w:tab w:leader="none" w:pos="123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Nomination and Approval.</w:t>
      </w:r>
      <w:r>
        <w:rPr>
          <w:rFonts w:ascii="Times New Roman" w:cs="Times New Roman" w:eastAsia="Times New Roman" w:hAnsi="Times New Roman"/>
          <w:sz w:val="22"/>
          <w:szCs w:val="22"/>
          <w:color w:val="auto"/>
        </w:rPr>
        <w:t xml:space="preserve"> Each Plan Year, the CEO will recommend eligible employees to participate in the Plan for the next Plan Year. The Compensation Committee will have the final authority to select Plan Participants among the eligible employees recommended by the CEO. Continued participation in the Plan is contingent on approval of the Compensation Committee with respect to each Plan Year.</w:t>
      </w:r>
    </w:p>
    <w:p>
      <w:pPr>
        <w:spacing w:after="0" w:line="180" w:lineRule="exact"/>
        <w:rPr>
          <w:rFonts w:ascii="Times New Roman" w:cs="Times New Roman" w:eastAsia="Times New Roman" w:hAnsi="Times New Roman"/>
          <w:sz w:val="22"/>
          <w:szCs w:val="22"/>
          <w:color w:val="auto"/>
        </w:rPr>
      </w:pPr>
    </w:p>
    <w:p>
      <w:pPr>
        <w:ind w:left="1500" w:right="20" w:hanging="690"/>
        <w:spacing w:after="0" w:line="239" w:lineRule="auto"/>
        <w:tabs>
          <w:tab w:leader="none" w:pos="123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xml:space="preserve"> Except as otherwise provided in this Plan, the grant of an opportunity to receive cash incentive compensation under the Plan to a Participant (an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and the terms of an Award shall be determined in the discretion of the Compensation Committee in accordance with the terms and purposes of the Plan. In general, each Award shall pay a bonus amount if the Company attains the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2" w:name="page33"/>
    <w:bookmarkEnd w:id="32"/>
    <w:p>
      <w:pPr>
        <w:ind w:left="1500" w:right="140"/>
        <w:spacing w:after="0" w:line="233" w:lineRule="auto"/>
        <w:rPr>
          <w:sz w:val="20"/>
          <w:szCs w:val="20"/>
          <w:color w:val="auto"/>
        </w:rPr>
      </w:pPr>
      <w:r>
        <w:rPr>
          <w:rFonts w:ascii="Times New Roman" w:cs="Times New Roman" w:eastAsia="Times New Roman" w:hAnsi="Times New Roman"/>
          <w:sz w:val="22"/>
          <w:szCs w:val="22"/>
          <w:color w:val="auto"/>
        </w:rPr>
        <w:t>specified performance targets that are measured over a specific period of time (the “</w:t>
      </w:r>
      <w:r>
        <w:rPr>
          <w:rFonts w:ascii="Times New Roman" w:cs="Times New Roman" w:eastAsia="Times New Roman" w:hAnsi="Times New Roman"/>
          <w:sz w:val="22"/>
          <w:szCs w:val="22"/>
          <w:u w:val="single" w:color="auto"/>
          <w:color w:val="auto"/>
        </w:rPr>
        <w:t>Measurement Period</w:t>
      </w:r>
      <w:r>
        <w:rPr>
          <w:rFonts w:ascii="Times New Roman" w:cs="Times New Roman" w:eastAsia="Times New Roman" w:hAnsi="Times New Roman"/>
          <w:sz w:val="22"/>
          <w:szCs w:val="22"/>
          <w:color w:val="auto"/>
        </w:rPr>
        <w:t>”) related to specified criteria (“</w:t>
      </w:r>
      <w:r>
        <w:rPr>
          <w:rFonts w:ascii="Times New Roman" w:cs="Times New Roman" w:eastAsia="Times New Roman" w:hAnsi="Times New Roman"/>
          <w:sz w:val="22"/>
          <w:szCs w:val="22"/>
          <w:u w:val="single" w:color="auto"/>
          <w:color w:val="auto"/>
        </w:rPr>
        <w:t>Performance Criteria</w:t>
      </w:r>
      <w:r>
        <w:rPr>
          <w:rFonts w:ascii="Times New Roman" w:cs="Times New Roman" w:eastAsia="Times New Roman" w:hAnsi="Times New Roman"/>
          <w:sz w:val="22"/>
          <w:szCs w:val="22"/>
          <w:color w:val="auto"/>
        </w:rPr>
        <w:t>”) established by the Compensation Committee consistent with the terms of this Plan. Awards may vary from Measurement Period to Measurement Period and from Participant to Participant. A Participant shall have no right to receive a grant of an Award hereunder. Whether to grant an Award or to pay compensation under an Award shall be completely within the discretion of the Compensation Committee. No employee of the Company or its affiliated units or other person shall have any claim or right to be a Participant in this Plan or to be granted an Award hereunder. Neither the adoption of this Plan nor any action taken hereunder shall be construed as giving any Participant any right to be retained in the employ of the Company or any subsidiary nor shall the grant of an Award hereunder constitute a request or consent to postpone the retirement date of a Participant. Nothing contained hereunder shall be construed as giving any Participant or any other person any equity or interest of any kind in any assets of the Company or creating a trust of any kind or a fiduciary relationship of any kind between the Company and any such person. As to any claim for any unpaid amounts under the Plan, any Participant or any other person having a claim for payments shall be an unsecured creditor.</w:t>
      </w:r>
    </w:p>
    <w:p>
      <w:pPr>
        <w:spacing w:after="0" w:line="180" w:lineRule="exact"/>
        <w:rPr>
          <w:sz w:val="20"/>
          <w:szCs w:val="20"/>
          <w:color w:val="auto"/>
        </w:rPr>
      </w:pPr>
    </w:p>
    <w:p>
      <w:pPr>
        <w:spacing w:after="0"/>
        <w:tabs>
          <w:tab w:leader="none" w:pos="420" w:val="left"/>
          <w:tab w:leader="none" w:pos="5180" w:val="left"/>
        </w:tabs>
        <w:rPr>
          <w:sz w:val="20"/>
          <w:szCs w:val="20"/>
          <w:color w:val="auto"/>
        </w:rPr>
      </w:pPr>
      <w:r>
        <w:rPr>
          <w:rFonts w:ascii="Times New Roman" w:cs="Times New Roman" w:eastAsia="Times New Roman" w:hAnsi="Times New Roman"/>
          <w:sz w:val="22"/>
          <w:szCs w:val="22"/>
          <w:color w:val="auto"/>
        </w:rPr>
        <w:t>V.</w:t>
      </w:r>
      <w:r>
        <w:rPr>
          <w:sz w:val="20"/>
          <w:szCs w:val="20"/>
          <w:color w:val="auto"/>
        </w:rPr>
        <w:tab/>
      </w:r>
      <w:r>
        <w:rPr>
          <w:rFonts w:ascii="Times New Roman" w:cs="Times New Roman" w:eastAsia="Times New Roman" w:hAnsi="Times New Roman"/>
          <w:sz w:val="22"/>
          <w:szCs w:val="22"/>
          <w:u w:val="single" w:color="auto"/>
          <w:color w:val="auto"/>
        </w:rPr>
        <w:t>INDIVIDUAL PARTICIPATION LEVELS</w:t>
      </w:r>
      <w:r>
        <w:rPr>
          <w:rFonts w:ascii="Times New Roman" w:cs="Times New Roman" w:eastAsia="Times New Roman" w:hAnsi="Times New Roman"/>
          <w:sz w:val="22"/>
          <w:szCs w:val="22"/>
          <w:color w:val="auto"/>
        </w:rPr>
        <w:t xml:space="preserve"> TC "V.</w:t>
      </w:r>
      <w:r>
        <w:rPr>
          <w:sz w:val="20"/>
          <w:szCs w:val="20"/>
          <w:color w:val="auto"/>
        </w:rPr>
        <w:tab/>
      </w:r>
      <w:r>
        <w:rPr>
          <w:rFonts w:ascii="Times New Roman" w:cs="Times New Roman" w:eastAsia="Times New Roman" w:hAnsi="Times New Roman"/>
          <w:sz w:val="21"/>
          <w:szCs w:val="21"/>
          <w:color w:val="auto"/>
        </w:rPr>
        <w:t>INDIVIDUAL PARTICIPATION LEVELS" \f C \l "1"</w:t>
      </w:r>
    </w:p>
    <w:p>
      <w:pPr>
        <w:spacing w:after="0" w:line="206" w:lineRule="exact"/>
        <w:rPr>
          <w:sz w:val="20"/>
          <w:szCs w:val="20"/>
          <w:color w:val="auto"/>
        </w:rPr>
      </w:pPr>
    </w:p>
    <w:p>
      <w:pPr>
        <w:ind w:left="1500" w:hanging="690"/>
        <w:spacing w:after="0" w:line="246" w:lineRule="auto"/>
        <w:tabs>
          <w:tab w:leader="none" w:pos="1237"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Calculation of Accrued Bonus. Each Participant’s bonus Award under this Plan will be determined as a function of the Participant’s Earned Wages, the Participant’s Target Incentive Award (as determined by the Compensation Committee), the Target STIP (as determined by the Compensation Committee), the Company’s Actual STIP performance and, if applicable, an evaluation of the Participant’s performance for the Plan Year. The Compensation Committee may decide to eliminate a Participant’s Individual Performance Factor for a particular Plan Year and as a result calculate a Participant’s bonus based solely upon the Actual Target STIP Performance factor for such Plan Year. Additionally, during each Plan Year the Compensation Committee shall determine, in its discretion, and set the performance factor (whether for the Actual Target STIP Performance factor and/or the Individual Performance Factor) to be applied for actual performance between the minimum (or threshold) performance level and the maximum performance level for such Plan Year.</w:t>
      </w:r>
    </w:p>
    <w:p>
      <w:pPr>
        <w:spacing w:after="0" w:line="171" w:lineRule="exact"/>
        <w:rPr>
          <w:sz w:val="20"/>
          <w:szCs w:val="20"/>
          <w:color w:val="auto"/>
        </w:rPr>
      </w:pPr>
    </w:p>
    <w:p>
      <w:pPr>
        <w:ind w:left="1500" w:right="500" w:hanging="690"/>
        <w:spacing w:after="0" w:line="258" w:lineRule="auto"/>
        <w:tabs>
          <w:tab w:leader="none" w:pos="123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Awards.</w:t>
      </w:r>
      <w:r>
        <w:rPr>
          <w:rFonts w:ascii="Times New Roman" w:cs="Times New Roman" w:eastAsia="Times New Roman" w:hAnsi="Times New Roman"/>
          <w:sz w:val="22"/>
          <w:szCs w:val="22"/>
          <w:color w:val="auto"/>
        </w:rPr>
        <w:t xml:space="preserve"> The Target Incentive Awards for each Participant will be determined by the Compensation Committee annually. Each Participant’s bonus will be calculated as follows: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Participant’s Earned Wages x Target Incentive Award x Actual Target STIP Performance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3" w:name="page34"/>
    <w:bookmarkEnd w:id="3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VI.  </w:t>
      </w:r>
      <w:r>
        <w:rPr>
          <w:rFonts w:ascii="Times New Roman" w:cs="Times New Roman" w:eastAsia="Times New Roman" w:hAnsi="Times New Roman"/>
          <w:sz w:val="22"/>
          <w:szCs w:val="22"/>
          <w:u w:val="single" w:color="auto"/>
          <w:color w:val="auto"/>
        </w:rPr>
        <w:t>PERFORMANCE FACTORS</w:t>
      </w:r>
      <w:r>
        <w:rPr>
          <w:rFonts w:ascii="Times New Roman" w:cs="Times New Roman" w:eastAsia="Times New Roman" w:hAnsi="Times New Roman"/>
          <w:sz w:val="22"/>
          <w:szCs w:val="22"/>
          <w:color w:val="auto"/>
        </w:rPr>
        <w:t xml:space="preserve"> TC "VI. PERFORMANCE FACTORS" \f C \l "1"</w:t>
      </w:r>
    </w:p>
    <w:p>
      <w:pPr>
        <w:spacing w:after="0" w:line="206" w:lineRule="exact"/>
        <w:rPr>
          <w:sz w:val="20"/>
          <w:szCs w:val="20"/>
          <w:color w:val="auto"/>
        </w:rPr>
      </w:pPr>
    </w:p>
    <w:p>
      <w:pPr>
        <w:ind w:left="1500" w:right="180" w:hanging="690"/>
        <w:spacing w:after="0" w:line="236" w:lineRule="auto"/>
        <w:tabs>
          <w:tab w:leader="none" w:pos="123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Criteria</w:t>
      </w:r>
      <w:r>
        <w:rPr>
          <w:rFonts w:ascii="Times New Roman" w:cs="Times New Roman" w:eastAsia="Times New Roman" w:hAnsi="Times New Roman"/>
          <w:sz w:val="22"/>
          <w:szCs w:val="22"/>
          <w:color w:val="auto"/>
        </w:rPr>
        <w:t>. Target, minimum and maximum STIP financial goals will be set annually by the Compensation Committee of the Board of Directors. The minimum financial goal would have performance of one-half and in the event the Company’s Actual STIP Performance is below the minimum financial goal for such Plan Year set by the Compensation Committee no bonus amount would be paid to Participants for such Plan Year. The maximum financial goal would have performance of two and any Actual STIP Performance between the minimum and maximum financial goal would be adjusted on a linear basis.</w:t>
      </w:r>
    </w:p>
    <w:p>
      <w:pPr>
        <w:spacing w:after="0" w:line="181" w:lineRule="exact"/>
        <w:rPr>
          <w:rFonts w:ascii="Times New Roman" w:cs="Times New Roman" w:eastAsia="Times New Roman" w:hAnsi="Times New Roman"/>
          <w:sz w:val="22"/>
          <w:szCs w:val="22"/>
          <w:color w:val="auto"/>
        </w:rPr>
      </w:pPr>
    </w:p>
    <w:p>
      <w:pPr>
        <w:ind w:left="1500" w:hanging="690"/>
        <w:spacing w:after="0" w:line="238" w:lineRule="auto"/>
        <w:tabs>
          <w:tab w:leader="none" w:pos="123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to Company Performance</w:t>
      </w:r>
      <w:r>
        <w:rPr>
          <w:rFonts w:ascii="Times New Roman" w:cs="Times New Roman" w:eastAsia="Times New Roman" w:hAnsi="Times New Roman"/>
          <w:sz w:val="22"/>
          <w:szCs w:val="22"/>
          <w:color w:val="auto"/>
        </w:rPr>
        <w:t>. When Company performance is based on any quantifiable financial or accounting measure, it may be necessary to exclude significant, unusual, unbudgeted or noncontrollable gains or losses from actual financial results in order to measure performance properly. The Compensation Committee will decide those items that shall be considered in adjusting actual results. For example, some types of items that may be considered for exclusion in determining Actual STIP Performance are:</w:t>
      </w:r>
    </w:p>
    <w:p>
      <w:pPr>
        <w:spacing w:after="0" w:line="176" w:lineRule="exact"/>
        <w:rPr>
          <w:rFonts w:ascii="Times New Roman" w:cs="Times New Roman" w:eastAsia="Times New Roman" w:hAnsi="Times New Roman"/>
          <w:sz w:val="22"/>
          <w:szCs w:val="22"/>
          <w:color w:val="auto"/>
        </w:rPr>
      </w:pPr>
    </w:p>
    <w:p>
      <w:pPr>
        <w:ind w:left="2260" w:right="500" w:hanging="754"/>
        <w:spacing w:after="0" w:line="258" w:lineRule="auto"/>
        <w:tabs>
          <w:tab w:leader="none" w:pos="194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gains or losses which will be treated as extraordinary in the Company’s financial statements (e.g. Pension Settlement Charge)</w:t>
      </w:r>
    </w:p>
    <w:p>
      <w:pPr>
        <w:spacing w:after="0" w:line="158" w:lineRule="exact"/>
        <w:rPr>
          <w:rFonts w:ascii="Times New Roman" w:cs="Times New Roman" w:eastAsia="Times New Roman" w:hAnsi="Times New Roman"/>
          <w:sz w:val="22"/>
          <w:szCs w:val="22"/>
          <w:color w:val="auto"/>
        </w:rPr>
      </w:pPr>
    </w:p>
    <w:p>
      <w:pPr>
        <w:ind w:left="2260" w:right="340" w:hanging="754"/>
        <w:spacing w:after="0" w:line="258" w:lineRule="auto"/>
        <w:tabs>
          <w:tab w:leader="none" w:pos="194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gains or losses not in the budget and/or the goal which are of a nonrecurring nature and are not considered to be in the ordinary course of business. Some of these would be as follows:</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Gains or losses from the sale or disposal of real estate or property.</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Crams resulting from insurance recoveries when such gains relate to claims filed in prior years.</w:t>
      </w:r>
    </w:p>
    <w:p>
      <w:pPr>
        <w:spacing w:after="0" w:line="206" w:lineRule="exact"/>
        <w:rPr>
          <w:rFonts w:ascii="Times New Roman" w:cs="Times New Roman" w:eastAsia="Times New Roman" w:hAnsi="Times New Roman"/>
          <w:sz w:val="22"/>
          <w:szCs w:val="22"/>
          <w:color w:val="auto"/>
        </w:rPr>
      </w:pPr>
    </w:p>
    <w:p>
      <w:pPr>
        <w:ind w:left="3000" w:right="20" w:hanging="746"/>
        <w:spacing w:after="0" w:line="282" w:lineRule="auto"/>
        <w:tabs>
          <w:tab w:leader="none" w:pos="2683"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Losses resulting from natural catastrophes, when the cause of the catastrophe is beyond the control of the Company and did not result from any failure or negligence on the Company’s part.</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 xml:space="preserve">VII. </w:t>
      </w:r>
      <w:r>
        <w:rPr>
          <w:rFonts w:ascii="Times New Roman" w:cs="Times New Roman" w:eastAsia="Times New Roman" w:hAnsi="Times New Roman"/>
          <w:sz w:val="22"/>
          <w:szCs w:val="22"/>
          <w:u w:val="single" w:color="auto"/>
          <w:color w:val="auto"/>
        </w:rPr>
        <w:t>CHANGE IN STATUS DURING THE PLAN YEAR</w:t>
      </w:r>
      <w:r>
        <w:rPr>
          <w:rFonts w:ascii="Times New Roman" w:cs="Times New Roman" w:eastAsia="Times New Roman" w:hAnsi="Times New Roman"/>
          <w:sz w:val="22"/>
          <w:szCs w:val="22"/>
          <w:color w:val="auto"/>
        </w:rPr>
        <w:t xml:space="preserve"> TC "VII. CHANGE IN STATUS DURING THE PLAN YEAR" \f C \l "1"</w:t>
      </w:r>
    </w:p>
    <w:p>
      <w:pPr>
        <w:spacing w:after="0" w:line="158" w:lineRule="exact"/>
        <w:rPr>
          <w:sz w:val="20"/>
          <w:szCs w:val="20"/>
          <w:color w:val="auto"/>
        </w:rPr>
      </w:pPr>
    </w:p>
    <w:p>
      <w:pPr>
        <w:ind w:left="1500" w:right="40" w:hanging="690"/>
        <w:spacing w:after="0" w:line="239" w:lineRule="auto"/>
        <w:tabs>
          <w:tab w:leader="none" w:pos="123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Hires and Promotions and Transfers</w:t>
      </w:r>
      <w:r>
        <w:rPr>
          <w:rFonts w:ascii="Times New Roman" w:cs="Times New Roman" w:eastAsia="Times New Roman" w:hAnsi="Times New Roman"/>
          <w:sz w:val="22"/>
          <w:szCs w:val="22"/>
          <w:color w:val="auto"/>
        </w:rPr>
        <w:t>. A newly hired employee or an employee promoted during the Plan Year to a position qualifying for participation (or leaving the participating class) may receive (subject to the discretion of the Compensation Committee) a pro rata bonus under this Plan based on Earned Wages received with respect to such Plan Year.</w:t>
      </w:r>
    </w:p>
    <w:p>
      <w:pPr>
        <w:spacing w:after="0" w:line="180" w:lineRule="exact"/>
        <w:rPr>
          <w:rFonts w:ascii="Times New Roman" w:cs="Times New Roman" w:eastAsia="Times New Roman" w:hAnsi="Times New Roman"/>
          <w:sz w:val="22"/>
          <w:szCs w:val="22"/>
          <w:color w:val="auto"/>
        </w:rPr>
      </w:pPr>
    </w:p>
    <w:p>
      <w:pPr>
        <w:ind w:left="1500" w:right="240" w:hanging="690"/>
        <w:spacing w:after="0" w:line="258" w:lineRule="auto"/>
        <w:tabs>
          <w:tab w:leader="none" w:pos="123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Discharge</w:t>
      </w:r>
      <w:r>
        <w:rPr>
          <w:rFonts w:ascii="Times New Roman" w:cs="Times New Roman" w:eastAsia="Times New Roman" w:hAnsi="Times New Roman"/>
          <w:sz w:val="22"/>
          <w:szCs w:val="22"/>
          <w:color w:val="auto"/>
        </w:rPr>
        <w:t>. An employee discharged during the Plan Year shall not be eligible for a bonus Award under this Plan with respect to such Plan Year.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ind w:left="1500" w:hanging="690"/>
        <w:spacing w:after="0" w:line="233" w:lineRule="auto"/>
        <w:tabs>
          <w:tab w:leader="none" w:pos="123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Death, Disability and Retirement</w:t>
      </w:r>
      <w:r>
        <w:rPr>
          <w:rFonts w:ascii="Times New Roman" w:cs="Times New Roman" w:eastAsia="Times New Roman" w:hAnsi="Times New Roman"/>
          <w:sz w:val="22"/>
          <w:szCs w:val="22"/>
          <w:color w:val="auto"/>
        </w:rPr>
        <w:t>. In general, a Participant must be a full-time employee of the Company or its affiliate on the last day of the performance period to which the Award relates (the “</w:t>
      </w:r>
      <w:r>
        <w:rPr>
          <w:rFonts w:ascii="Times New Roman" w:cs="Times New Roman" w:eastAsia="Times New Roman" w:hAnsi="Times New Roman"/>
          <w:sz w:val="22"/>
          <w:szCs w:val="22"/>
          <w:u w:val="single" w:color="auto"/>
          <w:color w:val="auto"/>
        </w:rPr>
        <w:t>Earned Date</w:t>
      </w:r>
      <w:r>
        <w:rPr>
          <w:rFonts w:ascii="Times New Roman" w:cs="Times New Roman" w:eastAsia="Times New Roman" w:hAnsi="Times New Roman"/>
          <w:sz w:val="22"/>
          <w:szCs w:val="22"/>
          <w:color w:val="auto"/>
        </w:rPr>
        <w:t>”) in order to be eligible to receive payment of an Award. The Compensation Committee has the discretion to nevertheless pay all or a portion of an Award to a Participant if the circumstances of his or her termination of employment prior to the end of the Measurement Period or performance period, as applicable, warrant special consideration, including, without limitation, upon a Participant’s death; disability; retirement; or related to military, position elimination, family or medical leave or other leave of absence approved by the Company. Without limiting the foregoing, an employee who terminates employment during the Plan Year will not be eligible for a bonus Award under this Plan unless the termination is a result of death, disability or retirement. Retirement is defined as terminating employment at age 65 or later with five years of continuous employment, terminating employment on or after your 55th birthday with 10 years of continuous service or a termination of employment at any age with 30 or more years of continuous service. An employee is considered to be disabled if the participant is determined to be totally disabled by the Social Security Administration during the Plan Year.</w:t>
      </w:r>
    </w:p>
    <w:p>
      <w:pPr>
        <w:spacing w:after="0" w:line="179" w:lineRule="exact"/>
        <w:rPr>
          <w:rFonts w:ascii="Times New Roman" w:cs="Times New Roman" w:eastAsia="Times New Roman" w:hAnsi="Times New Roman"/>
          <w:sz w:val="22"/>
          <w:szCs w:val="22"/>
          <w:color w:val="auto"/>
        </w:rPr>
      </w:pPr>
    </w:p>
    <w:p>
      <w:pPr>
        <w:ind w:left="1500" w:hanging="690"/>
        <w:spacing w:after="0" w:line="234" w:lineRule="auto"/>
        <w:tabs>
          <w:tab w:leader="none" w:pos="123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Needs Improvement Status</w:t>
      </w:r>
      <w:r>
        <w:rPr>
          <w:rFonts w:ascii="Times New Roman" w:cs="Times New Roman" w:eastAsia="Times New Roman" w:hAnsi="Times New Roman"/>
          <w:sz w:val="22"/>
          <w:szCs w:val="22"/>
          <w:color w:val="auto"/>
        </w:rPr>
        <w:t>. Notwithstanding anything herein to the contrary, an eligible employee who has not otherwise terminated employment during the Plan Year by reason of death, disability or retirement, shall not be eligible for a bonus hereunder for a Plan Year if his or her performance on his or her annual performance review for such Plan Year has been rated Needs Improvement. However, if such eligible employee maintains continuous employment with the Company and returns his or her performance to an acceptable level, as determined with the discretion of the Company, the bonus that was otherwise forfeit under the immediately preceding sentence shall be paid to such employee, subject to applicable withholding, on the payroll period immediately following his or her return to an acceptable level; provided that, such employee is employed with the Company on the date of payment.</w:t>
      </w:r>
    </w:p>
    <w:p>
      <w:pPr>
        <w:spacing w:after="0" w:line="183" w:lineRule="exact"/>
        <w:rPr>
          <w:sz w:val="20"/>
          <w:szCs w:val="20"/>
          <w:color w:val="auto"/>
        </w:rPr>
      </w:pPr>
    </w:p>
    <w:p>
      <w:pPr>
        <w:spacing w:after="0"/>
        <w:tabs>
          <w:tab w:leader="none" w:pos="860" w:val="left"/>
          <w:tab w:leader="none" w:pos="3880" w:val="left"/>
        </w:tabs>
        <w:rPr>
          <w:sz w:val="20"/>
          <w:szCs w:val="20"/>
          <w:color w:val="auto"/>
        </w:rPr>
      </w:pPr>
      <w:r>
        <w:rPr>
          <w:rFonts w:ascii="Times New Roman" w:cs="Times New Roman" w:eastAsia="Times New Roman" w:hAnsi="Times New Roman"/>
          <w:sz w:val="22"/>
          <w:szCs w:val="22"/>
          <w:color w:val="auto"/>
        </w:rPr>
        <w:t>VIII.</w:t>
      </w:r>
      <w:r>
        <w:rPr>
          <w:sz w:val="20"/>
          <w:szCs w:val="20"/>
          <w:color w:val="auto"/>
        </w:rPr>
        <w:tab/>
      </w:r>
      <w:r>
        <w:rPr>
          <w:rFonts w:ascii="Times New Roman" w:cs="Times New Roman" w:eastAsia="Times New Roman" w:hAnsi="Times New Roman"/>
          <w:sz w:val="22"/>
          <w:szCs w:val="22"/>
          <w:u w:val="single" w:color="auto"/>
          <w:color w:val="auto"/>
        </w:rPr>
        <w:t>BONUS PAYMENT</w:t>
      </w:r>
      <w:r>
        <w:rPr>
          <w:rFonts w:ascii="Times New Roman" w:cs="Times New Roman" w:eastAsia="Times New Roman" w:hAnsi="Times New Roman"/>
          <w:sz w:val="22"/>
          <w:szCs w:val="22"/>
          <w:color w:val="auto"/>
        </w:rPr>
        <w:t xml:space="preserve"> TC "VIII.</w:t>
      </w:r>
      <w:r>
        <w:rPr>
          <w:sz w:val="20"/>
          <w:szCs w:val="20"/>
          <w:color w:val="auto"/>
        </w:rPr>
        <w:tab/>
      </w:r>
      <w:r>
        <w:rPr>
          <w:rFonts w:ascii="Times New Roman" w:cs="Times New Roman" w:eastAsia="Times New Roman" w:hAnsi="Times New Roman"/>
          <w:sz w:val="21"/>
          <w:szCs w:val="21"/>
          <w:color w:val="auto"/>
        </w:rPr>
        <w:t>BONUS PAYMENT" \f C \l "1"</w:t>
      </w:r>
    </w:p>
    <w:p>
      <w:pPr>
        <w:spacing w:after="0" w:line="206" w:lineRule="exact"/>
        <w:rPr>
          <w:sz w:val="20"/>
          <w:szCs w:val="20"/>
          <w:color w:val="auto"/>
        </w:rPr>
      </w:pPr>
    </w:p>
    <w:p>
      <w:pPr>
        <w:ind w:left="760" w:right="140"/>
        <w:spacing w:after="0" w:line="239" w:lineRule="auto"/>
        <w:rPr>
          <w:sz w:val="20"/>
          <w:szCs w:val="20"/>
          <w:color w:val="auto"/>
        </w:rPr>
      </w:pPr>
      <w:r>
        <w:rPr>
          <w:rFonts w:ascii="Times New Roman" w:cs="Times New Roman" w:eastAsia="Times New Roman" w:hAnsi="Times New Roman"/>
          <w:sz w:val="22"/>
          <w:szCs w:val="22"/>
          <w:color w:val="auto"/>
        </w:rPr>
        <w:t>After approval of the Company performance for the applicable Plan Year by the Compensation Committee, payment of the Accrued Bonus earned for the Plan Year shall be made in cash, less amounts required to be withheld by law and 401(K) deferrals if elected, as soon as administratively feasible following the end of the Plan Year in which the bonus Award was earned, but in no event later than September 15 of such Plan Year.</w:t>
      </w:r>
    </w:p>
    <w:p>
      <w:pPr>
        <w:spacing w:after="0" w:line="180"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22"/>
          <w:szCs w:val="22"/>
          <w:color w:val="auto"/>
        </w:rPr>
        <w:t xml:space="preserve">IX.  </w:t>
      </w:r>
      <w:r>
        <w:rPr>
          <w:rFonts w:ascii="Times New Roman" w:cs="Times New Roman" w:eastAsia="Times New Roman" w:hAnsi="Times New Roman"/>
          <w:sz w:val="22"/>
          <w:szCs w:val="22"/>
          <w:u w:val="single" w:color="auto"/>
          <w:color w:val="auto"/>
        </w:rPr>
        <w:t>ADMINISTRATIVE PROVISIONS</w:t>
      </w:r>
      <w:r>
        <w:rPr>
          <w:rFonts w:ascii="Times New Roman" w:cs="Times New Roman" w:eastAsia="Times New Roman" w:hAnsi="Times New Roman"/>
          <w:sz w:val="22"/>
          <w:szCs w:val="22"/>
          <w:color w:val="auto"/>
        </w:rPr>
        <w:t xml:space="preserve"> TC "IX.</w:t>
      </w:r>
      <w:r>
        <w:rPr>
          <w:sz w:val="20"/>
          <w:szCs w:val="20"/>
          <w:color w:val="auto"/>
        </w:rPr>
        <w:tab/>
      </w:r>
      <w:r>
        <w:rPr>
          <w:rFonts w:ascii="Times New Roman" w:cs="Times New Roman" w:eastAsia="Times New Roman" w:hAnsi="Times New Roman"/>
          <w:sz w:val="21"/>
          <w:szCs w:val="21"/>
          <w:color w:val="auto"/>
        </w:rPr>
        <w:t>ADMINISTRATIVE PROVISIONS" \f C \l "1"</w:t>
      </w:r>
    </w:p>
    <w:p>
      <w:pPr>
        <w:spacing w:after="0" w:line="206" w:lineRule="exact"/>
        <w:rPr>
          <w:sz w:val="20"/>
          <w:szCs w:val="20"/>
          <w:color w:val="auto"/>
        </w:rPr>
      </w:pPr>
    </w:p>
    <w:p>
      <w:pPr>
        <w:ind w:left="1500" w:right="40" w:hanging="690"/>
        <w:spacing w:after="0" w:line="244" w:lineRule="auto"/>
        <w:tabs>
          <w:tab w:leader="none" w:pos="123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The Compensation Committee or the full Board of Directors of the Company shall have the right to amend or restate the Plan at any time and from time to time. The Company reserves the right to suspend or terminate the Plan at</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35" w:name="page36"/>
    <w:bookmarkEnd w:id="35"/>
    <w:p>
      <w:pPr>
        <w:ind w:left="1500"/>
        <w:spacing w:after="0" w:line="251" w:lineRule="auto"/>
        <w:rPr>
          <w:sz w:val="20"/>
          <w:szCs w:val="20"/>
          <w:color w:val="auto"/>
        </w:rPr>
      </w:pPr>
      <w:r>
        <w:rPr>
          <w:rFonts w:ascii="Times New Roman" w:cs="Times New Roman" w:eastAsia="Times New Roman" w:hAnsi="Times New Roman"/>
          <w:sz w:val="21"/>
          <w:szCs w:val="21"/>
          <w:color w:val="auto"/>
        </w:rPr>
        <w:t>any time. No modification, amendment, suspension, or termination of the Plan shall, without the consent of any affected Participants (or beneficiaries of such Participants in the event of death), reduce the rights of any such Participants (or beneficiaries, as applicable) to a payment or distribution already earned under the terms of the Plan that were in effect prior to such change. The provisions of the Plan as in effect at the time of a Participant’s termination of employment shall control as to that Participant, unless otherwise specified in the Plan.</w:t>
      </w:r>
    </w:p>
    <w:p>
      <w:pPr>
        <w:spacing w:after="0" w:line="168" w:lineRule="exact"/>
        <w:rPr>
          <w:sz w:val="20"/>
          <w:szCs w:val="20"/>
          <w:color w:val="auto"/>
        </w:rPr>
      </w:pPr>
    </w:p>
    <w:p>
      <w:pPr>
        <w:ind w:left="1500" w:right="400" w:hanging="690"/>
        <w:spacing w:after="0" w:line="258" w:lineRule="auto"/>
        <w:tabs>
          <w:tab w:leader="none" w:pos="1237"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to Act</w:t>
      </w:r>
      <w:r>
        <w:rPr>
          <w:rFonts w:ascii="Times New Roman" w:cs="Times New Roman" w:eastAsia="Times New Roman" w:hAnsi="Times New Roman"/>
          <w:sz w:val="22"/>
          <w:szCs w:val="22"/>
          <w:color w:val="auto"/>
        </w:rPr>
        <w:t>. Except as otherwise provided herein, the Compensation Committee shall act on behalf of the Company for purposes of the Plan.</w:t>
      </w:r>
    </w:p>
    <w:p>
      <w:pPr>
        <w:spacing w:after="0" w:line="158" w:lineRule="exact"/>
        <w:rPr>
          <w:rFonts w:ascii="Times New Roman" w:cs="Times New Roman" w:eastAsia="Times New Roman" w:hAnsi="Times New Roman"/>
          <w:sz w:val="22"/>
          <w:szCs w:val="22"/>
          <w:color w:val="auto"/>
        </w:rPr>
      </w:pPr>
    </w:p>
    <w:p>
      <w:pPr>
        <w:ind w:left="1500" w:right="260" w:hanging="690"/>
        <w:spacing w:after="0" w:line="244" w:lineRule="auto"/>
        <w:tabs>
          <w:tab w:leader="none" w:pos="1237"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 of Plan</w:t>
      </w:r>
      <w:r>
        <w:rPr>
          <w:rFonts w:ascii="Times New Roman" w:cs="Times New Roman" w:eastAsia="Times New Roman" w:hAnsi="Times New Roman"/>
          <w:sz w:val="22"/>
          <w:szCs w:val="22"/>
          <w:color w:val="auto"/>
        </w:rPr>
        <w:t>. Any decision of the Compensation Committee with respect to any issues concerning individuals selected for awards, the amount, terms, form and time of payment of awards, and interpretation of any Plan guideline, definition, or requirement shall be final and binding.</w:t>
      </w:r>
    </w:p>
    <w:p>
      <w:pPr>
        <w:spacing w:after="0" w:line="173" w:lineRule="exact"/>
        <w:rPr>
          <w:rFonts w:ascii="Times New Roman" w:cs="Times New Roman" w:eastAsia="Times New Roman" w:hAnsi="Times New Roman"/>
          <w:sz w:val="22"/>
          <w:szCs w:val="22"/>
          <w:color w:val="auto"/>
        </w:rPr>
      </w:pPr>
    </w:p>
    <w:p>
      <w:pPr>
        <w:ind w:left="1500" w:right="400" w:hanging="690"/>
        <w:spacing w:after="0" w:line="244" w:lineRule="auto"/>
        <w:tabs>
          <w:tab w:leader="none" w:pos="1237"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Award on Other Employee Benefits</w:t>
      </w:r>
      <w:r>
        <w:rPr>
          <w:rFonts w:ascii="Times New Roman" w:cs="Times New Roman" w:eastAsia="Times New Roman" w:hAnsi="Times New Roman"/>
          <w:sz w:val="22"/>
          <w:szCs w:val="22"/>
          <w:color w:val="auto"/>
        </w:rPr>
        <w:t>. By acceptance of a bonus award, each recipient agrees that such award is special additional compensation and that it will not affect any employee welfare benefit, except as otherwise provided by the terms of such benefit, in which the recipient participates.</w:t>
      </w:r>
    </w:p>
    <w:p>
      <w:pPr>
        <w:spacing w:after="0" w:line="173" w:lineRule="exact"/>
        <w:rPr>
          <w:rFonts w:ascii="Times New Roman" w:cs="Times New Roman" w:eastAsia="Times New Roman" w:hAnsi="Times New Roman"/>
          <w:sz w:val="22"/>
          <w:szCs w:val="22"/>
          <w:color w:val="auto"/>
        </w:rPr>
      </w:pPr>
    </w:p>
    <w:p>
      <w:pPr>
        <w:ind w:left="1500" w:right="40" w:hanging="690"/>
        <w:spacing w:after="0" w:line="239" w:lineRule="auto"/>
        <w:tabs>
          <w:tab w:leader="none" w:pos="1237"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Continued Employment; Additional Awards</w:t>
      </w:r>
      <w:r>
        <w:rPr>
          <w:rFonts w:ascii="Times New Roman" w:cs="Times New Roman" w:eastAsia="Times New Roman" w:hAnsi="Times New Roman"/>
          <w:sz w:val="22"/>
          <w:szCs w:val="22"/>
          <w:color w:val="auto"/>
        </w:rPr>
        <w:t>. The receipt of a bonus award shall not give the recipient any right to continued employment, and the right and power to dismiss any employee is specifically reserved to the Company. In addition, the receipt of a bonus award with respect to any Plan Year shall not entitle the recipient to an award with respect to any subsequent Plan Year.</w:t>
      </w:r>
    </w:p>
    <w:p>
      <w:pPr>
        <w:spacing w:after="0" w:line="180"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xml:space="preserve"> TC "X. MISCELLANEOUS" \f C \l "1"</w:t>
      </w:r>
    </w:p>
    <w:p>
      <w:pPr>
        <w:spacing w:after="0" w:line="206" w:lineRule="exact"/>
        <w:rPr>
          <w:rFonts w:ascii="Times New Roman" w:cs="Times New Roman" w:eastAsia="Times New Roman" w:hAnsi="Times New Roman"/>
          <w:sz w:val="22"/>
          <w:szCs w:val="22"/>
          <w:color w:val="auto"/>
        </w:rPr>
      </w:pPr>
    </w:p>
    <w:p>
      <w:pPr>
        <w:ind w:left="1500" w:right="20" w:hanging="690"/>
        <w:spacing w:after="0" w:line="233" w:lineRule="auto"/>
        <w:tabs>
          <w:tab w:leader="none" w:pos="123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Fiduciary Liability; Indemnification. The Plan is not subject to ERISA. Under ERISA and related federal laws, the Company is not a fiduciary with respect to the Plan, and has no fiduciary obligation with respect to any Participant, beneficiary or other person claiming a right hereunder. Further, nothing herein contained, and no action or inaction arising pursuant hereto shall give rise under state or federal law to a trust of any kind or create any fiduciary relationship of any kind or degree for the benefit of Participants, any beneficiary, or any other person. The Compensation Committee shall not be liable for, and shall be indemnified and held harmless by the Company from any loss, cost, liability, or expense that may be imposed upon or reasonably incurred in connection with any claim, action, suit, or proceeding to which a Compensation Committee member may be a party by reason of any action taken or failure to act under this Plan.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ind w:left="430" w:hanging="430"/>
        <w:spacing w:after="0"/>
        <w:tabs>
          <w:tab w:leader="none" w:pos="43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 of the Plan</w:t>
      </w:r>
      <w:r>
        <w:rPr>
          <w:rFonts w:ascii="Times New Roman" w:cs="Times New Roman" w:eastAsia="Times New Roman" w:hAnsi="Times New Roman"/>
          <w:sz w:val="22"/>
          <w:szCs w:val="22"/>
          <w:color w:val="auto"/>
        </w:rPr>
        <w:t>. The expenses of administering this Plan shall be borne by the Company.</w:t>
      </w:r>
    </w:p>
    <w:p>
      <w:pPr>
        <w:spacing w:after="0" w:line="206" w:lineRule="exact"/>
        <w:rPr>
          <w:rFonts w:ascii="Times New Roman" w:cs="Times New Roman" w:eastAsia="Times New Roman" w:hAnsi="Times New Roman"/>
          <w:sz w:val="22"/>
          <w:szCs w:val="22"/>
          <w:color w:val="auto"/>
        </w:rPr>
      </w:pPr>
    </w:p>
    <w:p>
      <w:pPr>
        <w:jc w:val="center"/>
        <w:ind w:left="690" w:right="320" w:hanging="690"/>
        <w:spacing w:after="0" w:line="282" w:lineRule="auto"/>
        <w:tabs>
          <w:tab w:leader="none" w:pos="42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 The Company shall have the right to deduct from all payments under this Plan any Federal, State or Social Security and Medicare taxes required by law to be withheld with respect to such payments.</w:t>
      </w:r>
    </w:p>
    <w:p>
      <w:pPr>
        <w:spacing w:after="0" w:line="134" w:lineRule="exact"/>
        <w:rPr>
          <w:rFonts w:ascii="Times New Roman" w:cs="Times New Roman" w:eastAsia="Times New Roman" w:hAnsi="Times New Roman"/>
          <w:sz w:val="21"/>
          <w:szCs w:val="21"/>
          <w:color w:val="auto"/>
        </w:rPr>
      </w:pPr>
    </w:p>
    <w:p>
      <w:pPr>
        <w:ind w:left="690" w:right="20" w:hanging="690"/>
        <w:spacing w:after="0" w:line="239" w:lineRule="auto"/>
        <w:tabs>
          <w:tab w:leader="none" w:pos="4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is intended to satisfy the requirements for the deferral of compensation under Code section 409A, or an exemption thereto. All terms used in the Plan and this Agreement shall be interpreted to the maximum extent possible to satisfy Code section 409A, or an exemption thereto. This plan shall be construed in accordance with a federal law and the laws of the State of Wisconsin.</w:t>
      </w:r>
    </w:p>
    <w:p>
      <w:pPr>
        <w:spacing w:after="0" w:line="180" w:lineRule="exact"/>
        <w:rPr>
          <w:rFonts w:ascii="Times New Roman" w:cs="Times New Roman" w:eastAsia="Times New Roman" w:hAnsi="Times New Roman"/>
          <w:sz w:val="22"/>
          <w:szCs w:val="22"/>
          <w:color w:val="auto"/>
        </w:rPr>
      </w:pPr>
    </w:p>
    <w:p>
      <w:pPr>
        <w:ind w:left="690" w:right="80" w:hanging="690"/>
        <w:spacing w:after="0" w:line="246" w:lineRule="auto"/>
        <w:tabs>
          <w:tab w:leader="none" w:pos="42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Trust Created</w:t>
      </w:r>
      <w:r>
        <w:rPr>
          <w:rFonts w:ascii="Times New Roman" w:cs="Times New Roman" w:eastAsia="Times New Roman" w:hAnsi="Times New Roman"/>
          <w:sz w:val="21"/>
          <w:szCs w:val="21"/>
          <w:color w:val="auto"/>
        </w:rPr>
        <w:t>. Nothing contained in this Plan and no action taken pursuant to its terms shall create or be construed to create a trust of any kind, or a fiduciary relationship between the Company or the Compensation Committee and any Participant, his or her designated beneficiary(ies), or any other person. Participant and the beneficiaries thereof have the status of general unsecured creditors of the Company. The Plan constitutes a mere promise by the Company to make benefit payments in the future. To the extent that any person acquires a right to receive payments from the Company under this Plan, such right shall be no greater than the right of any unsecured general creditor of the Company. It is the intention of the parties that the arrangements hereunder be unfunded for tax purposes and for purposes of Title I of ERISA. Nothing in this Plan will require the Company to purchase assets or place assets in a trust or other entity to which contributions are made or otherwise to segregate any assets for the purpose of satisfying any obligations under the Plan.</w:t>
      </w:r>
    </w:p>
    <w:p>
      <w:pPr>
        <w:spacing w:after="0" w:line="170" w:lineRule="exact"/>
        <w:rPr>
          <w:rFonts w:ascii="Times New Roman" w:cs="Times New Roman" w:eastAsia="Times New Roman" w:hAnsi="Times New Roman"/>
          <w:sz w:val="21"/>
          <w:szCs w:val="21"/>
          <w:color w:val="auto"/>
        </w:rPr>
      </w:pPr>
    </w:p>
    <w:p>
      <w:pPr>
        <w:ind w:left="690" w:hanging="690"/>
        <w:spacing w:after="0" w:line="235" w:lineRule="auto"/>
        <w:tabs>
          <w:tab w:leader="none" w:pos="4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Offset; Clawback, Restoration or Repayment</w:t>
      </w:r>
      <w:r>
        <w:rPr>
          <w:rFonts w:ascii="Times New Roman" w:cs="Times New Roman" w:eastAsia="Times New Roman" w:hAnsi="Times New Roman"/>
          <w:sz w:val="22"/>
          <w:szCs w:val="22"/>
          <w:color w:val="auto"/>
        </w:rPr>
        <w:t>. Notwithstanding any provision of the Plan to the contrary, the Company shall have the right to offset any payment to which a Participant or beneficiary is entitled hereunder by the amount of any debt or other amount owed to the Company by the Participant at the time of such payment. Each Participant in the Plan who has received an Award under such Plan acknowledges and agrees that any award, whether in the form of a cash payment, an equity grant or in any other form, is subject to any clawback policy, restoration or repayment rules or similar policy adopted now or in the future by the Company, or otherwise by operation of law.</w:t>
      </w:r>
    </w:p>
    <w:p>
      <w:pPr>
        <w:spacing w:after="0" w:line="200" w:lineRule="exact"/>
        <w:rPr>
          <w:sz w:val="20"/>
          <w:szCs w:val="20"/>
          <w:color w:val="auto"/>
        </w:rPr>
      </w:pPr>
    </w:p>
    <w:p>
      <w:pPr>
        <w:spacing w:after="0" w:line="388" w:lineRule="exact"/>
        <w:rPr>
          <w:sz w:val="20"/>
          <w:szCs w:val="20"/>
          <w:color w:val="auto"/>
        </w:rPr>
      </w:pPr>
    </w:p>
    <w:p>
      <w:pPr>
        <w:ind w:left="477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478155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408"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color w:val="auto"/>
        </w:rPr>
        <w:t>Ex. 10-3</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EMPLOYMENT AGREEMENT</w:t>
      </w:r>
    </w:p>
    <w:p>
      <w:pPr>
        <w:spacing w:after="0" w:line="224"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22"/>
          <w:szCs w:val="22"/>
          <w:color w:val="auto"/>
        </w:rPr>
        <w:t>THIS FIRST AMENDMENT TO EMPLOYMENT AGREEMENT (this “Amendment”) is effective as of the 23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day of October, 2024 (the “Amendment Effective Date”), by and between STRATTEC SECURITY CORPORATION, a Wisconsin corporation (the “Company”), and Jennifer L. Slater (the “Employee”).</w:t>
      </w:r>
    </w:p>
    <w:p>
      <w:pPr>
        <w:spacing w:after="0" w:line="17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and the Employee entered into an Employment Agreement dated June 11, 2024 and effective as of July 1, 2024 (the “Agreement”);</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pursuant to Section 19 of the Agreement, the Agreement may be amended by mutual written agreement of the Company and the Employee;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Company and the Employee desire to amend the Agreement as described in this Amendment; and</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capitalized terms not otherwise defined in this Amendment shall have the meanings ascribed to them in the Agreement.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agreements which follow and other good and valuable consideration, effective as of the Amendment Effective Date, the Agreement is hereby amended as follows:</w:t>
      </w:r>
    </w:p>
    <w:p>
      <w:pPr>
        <w:spacing w:after="0" w:line="158" w:lineRule="exact"/>
        <w:rPr>
          <w:sz w:val="20"/>
          <w:szCs w:val="20"/>
          <w:color w:val="auto"/>
        </w:rPr>
      </w:pPr>
    </w:p>
    <w:p>
      <w:pPr>
        <w:ind w:left="760" w:hanging="752"/>
        <w:spacing w:after="0"/>
        <w:tabs>
          <w:tab w:leader="none" w:pos="76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6(f)(ii) of the Agreement is hereby deleted in its entirety and replaced with the following:</w:t>
      </w:r>
    </w:p>
    <w:p>
      <w:pPr>
        <w:spacing w:after="0" w:line="206" w:lineRule="exact"/>
        <w:rPr>
          <w:rFonts w:ascii="Times New Roman" w:cs="Times New Roman" w:eastAsia="Times New Roman" w:hAnsi="Times New Roman"/>
          <w:sz w:val="22"/>
          <w:szCs w:val="22"/>
          <w:b w:val="1"/>
          <w:bCs w:val="1"/>
          <w:color w:val="auto"/>
        </w:rPr>
      </w:pPr>
    </w:p>
    <w:p>
      <w:pPr>
        <w:ind w:left="2680" w:hanging="426"/>
        <w:spacing w:after="0"/>
        <w:tabs>
          <w:tab w:leader="none" w:pos="268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“Change of Control” means the occurrence of any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events:</w:t>
      </w:r>
    </w:p>
    <w:p>
      <w:pPr>
        <w:spacing w:after="0" w:line="182" w:lineRule="exact"/>
        <w:rPr>
          <w:sz w:val="20"/>
          <w:szCs w:val="20"/>
          <w:color w:val="auto"/>
        </w:rPr>
      </w:pPr>
    </w:p>
    <w:p>
      <w:pPr>
        <w:ind w:left="2680" w:hanging="426"/>
        <w:spacing w:after="0"/>
        <w:tabs>
          <w:tab w:leader="none" w:pos="268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w:t>
      </w:r>
    </w:p>
    <w:p>
      <w:pPr>
        <w:spacing w:after="0" w:line="25" w:lineRule="exact"/>
        <w:rPr>
          <w:rFonts w:ascii="Times New Roman" w:cs="Times New Roman" w:eastAsia="Times New Roman" w:hAnsi="Times New Roman"/>
          <w:sz w:val="21"/>
          <w:szCs w:val="21"/>
          <w:color w:val="auto"/>
        </w:rPr>
      </w:pPr>
    </w:p>
    <w:p>
      <w:pPr>
        <w:ind w:left="1860" w:hanging="355"/>
        <w:spacing w:after="0" w:line="235" w:lineRule="auto"/>
        <w:tabs>
          <w:tab w:leader="none" w:pos="18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Securities Exchange Act of 1934, as amended (the “Exchange Act”)) (a “Person”) of beneficial</w:t>
      </w:r>
    </w:p>
    <w:p>
      <w:pPr>
        <w:ind w:left="1500"/>
        <w:spacing w:after="0" w:line="251" w:lineRule="exact"/>
        <w:rPr>
          <w:sz w:val="20"/>
          <w:szCs w:val="20"/>
          <w:color w:val="auto"/>
        </w:rPr>
      </w:pPr>
      <w:r>
        <w:rPr>
          <w:rFonts w:ascii="Times New Roman" w:cs="Times New Roman" w:eastAsia="Times New Roman" w:hAnsi="Times New Roman"/>
          <w:sz w:val="22"/>
          <w:szCs w:val="22"/>
          <w:color w:val="auto"/>
        </w:rPr>
        <w:t>ownership (within the meaning of Rule 13d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promulgated under the Exchange Act) of 50% or more of either</w:t>
      </w:r>
    </w:p>
    <w:p>
      <w:pPr>
        <w:spacing w:after="0" w:line="1" w:lineRule="exact"/>
        <w:rPr>
          <w:sz w:val="20"/>
          <w:szCs w:val="20"/>
          <w:color w:val="auto"/>
        </w:rPr>
      </w:pPr>
    </w:p>
    <w:p>
      <w:pPr>
        <w:jc w:val="both"/>
        <w:ind w:left="1500" w:firstLine="5"/>
        <w:spacing w:after="0" w:line="232" w:lineRule="auto"/>
        <w:tabs>
          <w:tab w:leader="none" w:pos="177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 outstanding shares of common stock of the Company (the “Outstanding Company Common Stock”) or (II) the combined voting power of the then outstanding voting securities of the Company entitled to vote generally in the election of directors (the “Outstanding Company Voting Securities”); provided, however, that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which complies with clauses (I), (II) and (III) of subsection (C) of this Section 6(f)(ii); or</w:t>
      </w:r>
    </w:p>
    <w:p>
      <w:pPr>
        <w:spacing w:after="0" w:line="179"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Effective Date, constitute the Board (the “Incumbent Board”) cease for any reason to constitute at least a majority of the Board; provided, however, that any individual becoming a director subsequent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8" w:name="page39"/>
    <w:bookmarkEnd w:id="38"/>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1" w:lineRule="exact"/>
        <w:rPr>
          <w:sz w:val="20"/>
          <w:szCs w:val="20"/>
          <w:color w:val="auto"/>
        </w:rPr>
      </w:pPr>
    </w:p>
    <w:p>
      <w:pPr>
        <w:jc w:val="both"/>
        <w:ind w:left="380" w:firstLine="754"/>
        <w:spacing w:after="0" w:line="232" w:lineRule="auto"/>
        <w:tabs>
          <w:tab w:leader="none" w:pos="156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by the Company of a reorganization, merger or consolidation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through one or more subsidiaries) in substantially the same proportions as their ownership, immediately prior to such Business Combination of the Outstanding Company Common Stock and Outstanding Company Voting Securities, as the case may be, (II) no Person (excluding any employee benefit plan (or related trust) of the Company or such corporation resulting from such Business Combination) beneficially owns, directly or indirectly, 20%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8" w:lineRule="exact"/>
        <w:rPr>
          <w:rFonts w:ascii="Times New Roman" w:cs="Times New Roman" w:eastAsia="Times New Roman" w:hAnsi="Times New Roman"/>
          <w:sz w:val="22"/>
          <w:szCs w:val="22"/>
          <w:color w:val="auto"/>
        </w:rPr>
      </w:pPr>
    </w:p>
    <w:p>
      <w:pPr>
        <w:jc w:val="both"/>
        <w:ind w:left="380" w:firstLine="754"/>
        <w:spacing w:after="0" w:line="234" w:lineRule="auto"/>
        <w:tabs>
          <w:tab w:leader="none" w:pos="156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(I) a complete liquidation or dissolution of the Company or (II) the sale or other disposition of all or substantially all of the assets of the Company, other than to a corporation, with respect to which following such sale or other disposition, (a)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outstanding Company Voting Securities immediately prior to such sale or other disposition in substantially the same proportion as their ownership, immediately prior to such sale or other disposition, of the Outstanding Company Common Stock and Outstanding Company Voting Securities, as the case may be, (b) less than 20% of, respectively,</w:t>
      </w:r>
    </w:p>
    <w:p>
      <w:pPr>
        <w:spacing w:after="0" w:line="3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632460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9" w:name="page40"/>
    <w:bookmarkEnd w:id="39"/>
    <w:p>
      <w:pPr>
        <w:jc w:val="both"/>
        <w:ind w:left="1500"/>
        <w:spacing w:after="0" w:line="234" w:lineRule="auto"/>
        <w:rPr>
          <w:sz w:val="20"/>
          <w:szCs w:val="20"/>
          <w:color w:val="auto"/>
        </w:rPr>
      </w:pPr>
      <w:r>
        <w:rPr>
          <w:rFonts w:ascii="Times New Roman" w:cs="Times New Roman" w:eastAsia="Times New Roman" w:hAnsi="Times New Roman"/>
          <w:sz w:val="22"/>
          <w:szCs w:val="22"/>
          <w:color w:val="auto"/>
        </w:rPr>
        <w:t>the then outstanding shares of common stock of such corporation and the combined voting power of the then outstanding voting securities of such corporation entitled to vote generally in the election of directors is then beneficially owned, directly or indirectly, by any Person (excluding any employee benefit plan (or related trust) of the Company or such corporation), except to the extent that such Person owned 20% or more of the Outstanding Company Common Stock or Outstanding Company Voting Securities prior to the sale or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All references in this Section 6(f)(ii) to common stock shall include, to the extent applicable, references to equity interests, and all references in this Section 6(f)(ii) to directors or board of directors shall include, to the extent applicable, references to any other applicable management body of a person.</w:t>
      </w:r>
    </w:p>
    <w:p>
      <w:pPr>
        <w:spacing w:after="0" w:line="173"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other terms and conditions of the Agreement shall remain in full force and effect.</w:t>
      </w:r>
    </w:p>
    <w:p>
      <w:pPr>
        <w:spacing w:after="0" w:line="206"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Amendment may be executed in one or more counterparts.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or caused this Amendment to be executed, effective as of the Amendment Effective Date.</w:t>
      </w:r>
    </w:p>
    <w:p>
      <w:pPr>
        <w:spacing w:after="0" w:line="200" w:lineRule="exact"/>
        <w:rPr>
          <w:sz w:val="20"/>
          <w:szCs w:val="20"/>
          <w:color w:val="auto"/>
        </w:rPr>
      </w:pPr>
    </w:p>
    <w:p>
      <w:pPr>
        <w:spacing w:after="0" w:line="283"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36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EMPLOYEE</w:t>
            </w:r>
          </w:p>
        </w:tc>
        <w:tc>
          <w:tcPr>
            <w:tcW w:w="5580" w:type="dxa"/>
            <w:vAlign w:val="bottom"/>
            <w:gridSpan w:val="4"/>
          </w:tcPr>
          <w:p>
            <w:pPr>
              <w:ind w:left="1720"/>
              <w:spacing w:after="0"/>
              <w:rPr>
                <w:sz w:val="20"/>
                <w:szCs w:val="20"/>
                <w:color w:val="auto"/>
              </w:rPr>
            </w:pPr>
            <w:r>
              <w:rPr>
                <w:rFonts w:ascii="Times New Roman" w:cs="Times New Roman" w:eastAsia="Times New Roman" w:hAnsi="Times New Roman"/>
                <w:sz w:val="20"/>
                <w:szCs w:val="20"/>
                <w:b w:val="1"/>
                <w:bCs w:val="1"/>
                <w:color w:val="auto"/>
              </w:rPr>
              <w:t>STRATTEC SECURITY CORPORATION</w:t>
            </w:r>
          </w:p>
        </w:tc>
      </w:tr>
      <w:tr>
        <w:trPr>
          <w:trHeight w:val="197"/>
        </w:trPr>
        <w:tc>
          <w:tcPr>
            <w:tcW w:w="3680" w:type="dxa"/>
            <w:vAlign w:val="bottom"/>
            <w:gridSpan w:val="3"/>
          </w:tcPr>
          <w:p>
            <w:pPr>
              <w:spacing w:after="0"/>
              <w:rPr>
                <w:sz w:val="17"/>
                <w:szCs w:val="17"/>
                <w:color w:val="auto"/>
              </w:rPr>
            </w:pPr>
          </w:p>
        </w:tc>
        <w:tc>
          <w:tcPr>
            <w:tcW w:w="5580" w:type="dxa"/>
            <w:vAlign w:val="bottom"/>
            <w:gridSpan w:val="4"/>
          </w:tcPr>
          <w:p>
            <w:pPr>
              <w:spacing w:after="0"/>
              <w:rPr>
                <w:sz w:val="17"/>
                <w:szCs w:val="17"/>
                <w:color w:val="auto"/>
              </w:rPr>
            </w:pPr>
          </w:p>
        </w:tc>
      </w:tr>
      <w:tr>
        <w:trPr>
          <w:trHeight w:val="473"/>
        </w:trPr>
        <w:tc>
          <w:tcPr>
            <w:tcW w:w="3680" w:type="dxa"/>
            <w:vAlign w:val="bottom"/>
            <w:gridSpan w:val="3"/>
          </w:tcPr>
          <w:p>
            <w:pPr>
              <w:spacing w:after="0"/>
              <w:rPr>
                <w:sz w:val="24"/>
                <w:szCs w:val="24"/>
                <w:color w:val="auto"/>
              </w:rPr>
            </w:pPr>
          </w:p>
        </w:tc>
        <w:tc>
          <w:tcPr>
            <w:tcW w:w="5580" w:type="dxa"/>
            <w:vAlign w:val="bottom"/>
            <w:gridSpan w:val="4"/>
          </w:tcPr>
          <w:p>
            <w:pPr>
              <w:spacing w:after="0"/>
              <w:rPr>
                <w:sz w:val="24"/>
                <w:szCs w:val="24"/>
                <w:color w:val="auto"/>
              </w:rPr>
            </w:pPr>
          </w:p>
        </w:tc>
      </w:tr>
      <w:tr>
        <w:trPr>
          <w:trHeight w:val="459"/>
        </w:trPr>
        <w:tc>
          <w:tcPr>
            <w:tcW w:w="3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Jennifer L. Slater</w:t>
            </w:r>
          </w:p>
        </w:tc>
        <w:tc>
          <w:tcPr>
            <w:tcW w:w="5580" w:type="dxa"/>
            <w:vAlign w:val="bottom"/>
            <w:gridSpan w:val="4"/>
          </w:tcPr>
          <w:p>
            <w:pPr>
              <w:ind w:left="1720"/>
              <w:spacing w:after="0"/>
              <w:rPr>
                <w:sz w:val="20"/>
                <w:szCs w:val="20"/>
                <w:color w:val="auto"/>
              </w:rPr>
            </w:pPr>
            <w:r>
              <w:rPr>
                <w:rFonts w:ascii="Times New Roman" w:cs="Times New Roman" w:eastAsia="Times New Roman" w:hAnsi="Times New Roman"/>
                <w:sz w:val="20"/>
                <w:szCs w:val="20"/>
                <w:color w:val="auto"/>
              </w:rPr>
              <w:t>By: /s/ Dennis P. Bowe</w:t>
            </w:r>
          </w:p>
        </w:tc>
      </w:tr>
      <w:tr>
        <w:trPr>
          <w:trHeight w:val="223"/>
        </w:trPr>
        <w:tc>
          <w:tcPr>
            <w:tcW w:w="34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500" w:type="dxa"/>
            <w:vAlign w:val="bottom"/>
            <w:tcBorders>
              <w:top w:val="single" w:sz="8" w:color="auto"/>
            </w:tcBorders>
            <w:gridSpan w:val="2"/>
          </w:tcPr>
          <w:p>
            <w:pPr>
              <w:spacing w:after="0"/>
              <w:rPr>
                <w:sz w:val="19"/>
                <w:szCs w:val="19"/>
                <w:color w:val="auto"/>
              </w:rPr>
            </w:pPr>
          </w:p>
        </w:tc>
        <w:tc>
          <w:tcPr>
            <w:tcW w:w="2020" w:type="dxa"/>
            <w:vAlign w:val="bottom"/>
          </w:tcPr>
          <w:p>
            <w:pPr>
              <w:spacing w:after="0"/>
              <w:rPr>
                <w:sz w:val="19"/>
                <w:szCs w:val="19"/>
                <w:color w:val="auto"/>
              </w:rPr>
            </w:pPr>
          </w:p>
        </w:tc>
      </w:tr>
      <w:tr>
        <w:trPr>
          <w:trHeight w:val="459"/>
        </w:trPr>
        <w:tc>
          <w:tcPr>
            <w:tcW w:w="3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Jennifer L. Slater</w:t>
            </w:r>
          </w:p>
        </w:tc>
        <w:tc>
          <w:tcPr>
            <w:tcW w:w="5580" w:type="dxa"/>
            <w:vAlign w:val="bottom"/>
            <w:gridSpan w:val="4"/>
          </w:tcPr>
          <w:p>
            <w:pPr>
              <w:ind w:left="1720"/>
              <w:spacing w:after="0"/>
              <w:rPr>
                <w:sz w:val="20"/>
                <w:szCs w:val="20"/>
                <w:color w:val="auto"/>
              </w:rPr>
            </w:pPr>
            <w:r>
              <w:rPr>
                <w:rFonts w:ascii="Times New Roman" w:cs="Times New Roman" w:eastAsia="Times New Roman" w:hAnsi="Times New Roman"/>
                <w:sz w:val="20"/>
                <w:szCs w:val="20"/>
                <w:color w:val="auto"/>
                <w:w w:val="98"/>
              </w:rPr>
              <w:t>Title: Vice President and Chief Financial Officer</w:t>
            </w:r>
          </w:p>
        </w:tc>
      </w:tr>
      <w:tr>
        <w:trPr>
          <w:trHeight w:val="223"/>
        </w:trPr>
        <w:tc>
          <w:tcPr>
            <w:tcW w:w="3680" w:type="dxa"/>
            <w:vAlign w:val="bottom"/>
            <w:gridSpan w:val="3"/>
          </w:tcPr>
          <w:p>
            <w:pPr>
              <w:spacing w:after="0"/>
              <w:rPr>
                <w:sz w:val="19"/>
                <w:szCs w:val="19"/>
                <w:color w:val="auto"/>
              </w:rPr>
            </w:pPr>
          </w:p>
        </w:tc>
        <w:tc>
          <w:tcPr>
            <w:tcW w:w="2200" w:type="dxa"/>
            <w:vAlign w:val="bottom"/>
            <w:gridSpan w:val="2"/>
          </w:tcPr>
          <w:p>
            <w:pPr>
              <w:spacing w:after="0"/>
              <w:rPr>
                <w:sz w:val="19"/>
                <w:szCs w:val="19"/>
                <w:color w:val="auto"/>
              </w:rPr>
            </w:pPr>
          </w:p>
        </w:tc>
        <w:tc>
          <w:tcPr>
            <w:tcW w:w="3380" w:type="dxa"/>
            <w:vAlign w:val="bottom"/>
            <w:tcBorders>
              <w:top w:val="single" w:sz="8" w:color="auto"/>
            </w:tcBorders>
            <w:gridSpan w:val="2"/>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145415</wp:posOffset>
            </wp:positionV>
            <wp:extent cx="31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145415</wp:posOffset>
            </wp:positionV>
            <wp:extent cx="311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EXECUTIVE OFFICER</w:t>
      </w:r>
    </w:p>
    <w:p>
      <w:pPr>
        <w:jc w:val="cente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Jennifer L. Slater, certify that:</w:t>
      </w:r>
    </w:p>
    <w:p>
      <w:pPr>
        <w:spacing w:after="0" w:line="229"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right="40" w:firstLine="8"/>
        <w:spacing w:after="0" w:line="254" w:lineRule="auto"/>
        <w:tabs>
          <w:tab w:leader="none" w:pos="50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160" w:firstLine="8"/>
        <w:spacing w:after="0" w:line="295" w:lineRule="auto"/>
        <w:tabs>
          <w:tab w:leader="none" w:pos="509"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right="20" w:firstLine="8"/>
        <w:spacing w:after="0" w:line="254" w:lineRule="auto"/>
        <w:tabs>
          <w:tab w:leader="none" w:pos="50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ind w:left="1020" w:right="100" w:hanging="503"/>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1020" w:right="280" w:hanging="503"/>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1020" w:hanging="503"/>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1020" w:right="40" w:hanging="503"/>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left="520" w:right="280" w:hanging="512"/>
        <w:spacing w:after="0" w:line="254" w:lineRule="auto"/>
        <w:tabs>
          <w:tab w:leader="none" w:pos="5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1020" w:right="140" w:hanging="503"/>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1020" w:right="180" w:hanging="503"/>
        <w:spacing w:after="0" w:line="269"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7, 2024</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Jennifer L.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-24765</wp:posOffset>
            </wp:positionV>
            <wp:extent cx="15074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Jennifer L. Slater,</w:t>
      </w:r>
    </w:p>
    <w:p>
      <w:pPr>
        <w:ind w:left="52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FINANCIAL OFFICER</w:t>
      </w:r>
    </w:p>
    <w:p>
      <w:pPr>
        <w:jc w:val="cente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Dennis Bowe, certify that:</w:t>
      </w:r>
    </w:p>
    <w:p>
      <w:pPr>
        <w:spacing w:after="0" w:line="229"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right="40" w:firstLine="8"/>
        <w:spacing w:after="0" w:line="254" w:lineRule="auto"/>
        <w:tabs>
          <w:tab w:leader="none" w:pos="50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160" w:firstLine="8"/>
        <w:spacing w:after="0" w:line="295" w:lineRule="auto"/>
        <w:tabs>
          <w:tab w:leader="none" w:pos="50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right="20" w:firstLine="8"/>
        <w:spacing w:after="0" w:line="254" w:lineRule="auto"/>
        <w:tabs>
          <w:tab w:leader="none" w:pos="50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Times New Roman" w:cs="Times New Roman" w:eastAsia="Times New Roman" w:hAnsi="Times New Roman"/>
          <w:sz w:val="20"/>
          <w:szCs w:val="20"/>
          <w:color w:val="auto"/>
        </w:rPr>
      </w:pPr>
    </w:p>
    <w:p>
      <w:pPr>
        <w:ind w:left="520" w:right="180" w:hanging="3"/>
        <w:spacing w:after="0" w:line="254" w:lineRule="auto"/>
        <w:tabs>
          <w:tab w:leader="none" w:pos="102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520" w:right="200" w:hanging="3"/>
        <w:spacing w:after="0" w:line="254" w:lineRule="auto"/>
        <w:tabs>
          <w:tab w:leader="none" w:pos="102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520" w:right="380" w:hanging="3"/>
        <w:spacing w:after="0" w:line="254" w:lineRule="auto"/>
        <w:tabs>
          <w:tab w:leader="none" w:pos="102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520" w:right="40" w:hanging="3"/>
        <w:spacing w:after="0" w:line="254" w:lineRule="auto"/>
        <w:tabs>
          <w:tab w:leader="none" w:pos="102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right="420" w:firstLine="8"/>
        <w:spacing w:after="0" w:line="254" w:lineRule="auto"/>
        <w:tabs>
          <w:tab w:leader="none" w:pos="50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520" w:right="140" w:hanging="3"/>
        <w:spacing w:after="0" w:line="295" w:lineRule="auto"/>
        <w:tabs>
          <w:tab w:leader="none" w:pos="1029"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9"/>
          <w:szCs w:val="19"/>
          <w:color w:val="auto"/>
        </w:rPr>
      </w:pPr>
    </w:p>
    <w:p>
      <w:pPr>
        <w:ind w:left="520" w:right="180" w:hanging="3"/>
        <w:spacing w:after="0" w:line="269" w:lineRule="auto"/>
        <w:tabs>
          <w:tab w:leader="none" w:pos="102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7, 2024</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Dennis Bowe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-24765</wp:posOffset>
            </wp:positionV>
            <wp:extent cx="1256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Dennis Bowe,</w:t>
      </w:r>
    </w:p>
    <w:p>
      <w:pPr>
        <w:ind w:left="52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43" w:name="page44"/>
    <w:bookmarkEnd w:id="43"/>
    <w:p>
      <w:pPr>
        <w:ind w:left="8580"/>
        <w:spacing w:after="0"/>
        <w:rPr>
          <w:sz w:val="20"/>
          <w:szCs w:val="20"/>
          <w:color w:val="auto"/>
        </w:rPr>
      </w:pPr>
      <w:r>
        <w:rPr>
          <w:rFonts w:ascii="Times New Roman" w:cs="Times New Roman" w:eastAsia="Times New Roman" w:hAnsi="Times New Roman"/>
          <w:sz w:val="20"/>
          <w:szCs w:val="20"/>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of Periodic Financial Report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spacing w:after="0" w:line="200" w:lineRule="exact"/>
        <w:rPr>
          <w:sz w:val="20"/>
          <w:szCs w:val="20"/>
          <w:color w:val="auto"/>
        </w:rPr>
      </w:pPr>
    </w:p>
    <w:p>
      <w:pPr>
        <w:spacing w:after="0" w:line="23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Pursuant to 18 U.S.C. Section 1350, as adopted pursuant to Section 906 of the Sarbanes-Oxley Act of 2002, each of the undersigned officers of STRATTEC SECURITY CORPORATION (the "Company") certifies that the Quarterly Report on Form 10-Q of the Company for the quarter ended September 29, 2024 fully complies with the requirements of Section 13(a) of the Securities Exchange Act of 1934 and information contained in that Form 10-Q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Dated: November 7, 2024</w:t>
            </w: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/s/ Jennifer L. Slater</w:t>
            </w:r>
          </w:p>
        </w:tc>
        <w:tc>
          <w:tcPr>
            <w:tcW w:w="280" w:type="dxa"/>
            <w:vAlign w:val="bottom"/>
          </w:tcPr>
          <w:p>
            <w:pPr>
              <w:spacing w:after="0"/>
              <w:rPr>
                <w:sz w:val="19"/>
                <w:szCs w:val="19"/>
                <w:color w:val="auto"/>
              </w:rPr>
            </w:pPr>
          </w:p>
        </w:tc>
      </w:tr>
      <w:tr>
        <w:trPr>
          <w:trHeight w:val="254"/>
        </w:trPr>
        <w:tc>
          <w:tcPr>
            <w:tcW w:w="584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Jennifer L. Slater,</w:t>
            </w:r>
          </w:p>
        </w:tc>
      </w:tr>
      <w:tr>
        <w:trPr>
          <w:trHeight w:val="258"/>
        </w:trPr>
        <w:tc>
          <w:tcPr>
            <w:tcW w:w="584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Chief Executive Officer</w:t>
            </w:r>
          </w:p>
        </w:tc>
      </w:tr>
      <w:tr>
        <w:trPr>
          <w:trHeight w:val="656"/>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Dated: November 7, 2024</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8"/>
              </w:rPr>
              <w:t>/s/ Dennis Bowe</w:t>
            </w:r>
          </w:p>
        </w:tc>
        <w:tc>
          <w:tcPr>
            <w:tcW w:w="580" w:type="dxa"/>
            <w:vAlign w:val="bottom"/>
            <w:gridSpan w:val="2"/>
          </w:tcPr>
          <w:p>
            <w:pPr>
              <w:spacing w:after="0"/>
              <w:rPr>
                <w:sz w:val="24"/>
                <w:szCs w:val="24"/>
                <w:color w:val="auto"/>
              </w:rPr>
            </w:pPr>
          </w:p>
        </w:tc>
      </w:tr>
      <w:tr>
        <w:trPr>
          <w:trHeight w:val="254"/>
        </w:trPr>
        <w:tc>
          <w:tcPr>
            <w:tcW w:w="584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Dennis Bowe,</w:t>
            </w:r>
          </w:p>
        </w:tc>
      </w:tr>
      <w:tr>
        <w:trPr>
          <w:trHeight w:val="258"/>
        </w:trPr>
        <w:tc>
          <w:tcPr>
            <w:tcW w:w="584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44"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20"/>
          <w:szCs w:val="20"/>
          <w:color w:val="auto"/>
        </w:rPr>
        <w:t>This certification is made solely for purpose of 18 U.S.C. Section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1268730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upperLetter"/>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01"/>
    </w:lvl>
  </w:abstractNum>
  <w:abstractNum w:abstractNumId="11">
    <w:nsid w:val="189A769B"/>
    <w:multiLevelType w:val="hybridMultilevel"/>
    <w:lvl w:ilvl="0">
      <w:lvlJc w:val="left"/>
      <w:lvlText w:val="*"/>
      <w:numFmt w:val="bullet"/>
      <w:start w:val="1"/>
    </w:lvl>
    <w:lvl w:ilvl="1">
      <w:lvlJc w:val="left"/>
      <w:lvlText w:val="%2"/>
      <w:numFmt w:val="decimal"/>
      <w:start w:val="104"/>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
      <w:numFmt w:val="bullet"/>
      <w:start w:val="1"/>
    </w:lvl>
  </w:abstractNum>
  <w:abstractNum w:abstractNumId="14">
    <w:nsid w:val="2CA88611"/>
    <w:multiLevelType w:val="hybridMultilevel"/>
    <w:lvl w:ilvl="0">
      <w:lvlJc w:val="left"/>
      <w:lvlText w:val="%1."/>
      <w:numFmt w:val="upperLetter"/>
      <w:start w:val="9"/>
    </w:lvl>
  </w:abstractNum>
  <w:abstractNum w:abstractNumId="15">
    <w:nsid w:val="836C40E"/>
    <w:multiLevelType w:val="hybridMultilevel"/>
    <w:lvl w:ilvl="0">
      <w:lvlJc w:val="left"/>
      <w:lvlText w:val="%1"/>
      <w:numFmt w:val="upperLetter"/>
      <w:start w:val="1"/>
    </w:lvl>
    <w:lvl w:ilvl="1">
      <w:lvlJc w:val="left"/>
      <w:lvlText w:val="%2."/>
      <w:numFmt w:val="upperLetter"/>
      <w:start w:val="1"/>
    </w:lvl>
  </w:abstractNum>
  <w:abstractNum w:abstractNumId="16">
    <w:nsid w:val="2901D82"/>
    <w:multiLevelType w:val="hybridMultilevel"/>
    <w:lvl w:ilvl="0">
      <w:lvlJc w:val="left"/>
      <w:lvlText w:val="%1."/>
      <w:numFmt w:val="upperLetter"/>
      <w:start w:val="35"/>
    </w:lvl>
    <w:lvl w:ilvl="1">
      <w:lvlJc w:val="left"/>
      <w:lvlText w:val="%2."/>
      <w:numFmt w:val="upperLetter"/>
      <w:start w:val="1"/>
    </w:lvl>
  </w:abstractNum>
  <w:abstractNum w:abstractNumId="17">
    <w:nsid w:val="3A95F874"/>
    <w:multiLevelType w:val="hybridMultilevel"/>
    <w:lvl w:ilvl="0">
      <w:lvlJc w:val="left"/>
      <w:lvlText w:val="%1"/>
      <w:numFmt w:val="upperLetter"/>
      <w:start w:val="1"/>
    </w:lvl>
    <w:lvl w:ilvl="1">
      <w:lvlJc w:val="left"/>
      <w:lvlText w:val="%2."/>
      <w:numFmt w:val="upperLetter"/>
      <w:start w:val="5"/>
    </w:lvl>
  </w:abstractNum>
  <w:abstractNum w:abstractNumId="18">
    <w:nsid w:val="8138641"/>
    <w:multiLevelType w:val="hybridMultilevel"/>
    <w:lvl w:ilvl="0">
      <w:lvlJc w:val="left"/>
      <w:lvlText w:val="%1."/>
      <w:numFmt w:val="upperLetter"/>
      <w:start w:val="61"/>
    </w:lvl>
    <w:lvl w:ilvl="1">
      <w:lvlJc w:val="left"/>
      <w:lvlText w:val="%2"/>
      <w:numFmt w:val="upperLetter"/>
      <w:start w:val="1"/>
    </w:lvl>
  </w:abstractNum>
  <w:abstractNum w:abstractNumId="19">
    <w:nsid w:val="1E7FF521"/>
    <w:multiLevelType w:val="hybridMultilevel"/>
    <w:lvl w:ilvl="0">
      <w:lvlJc w:val="left"/>
      <w:lvlText w:val="%1."/>
      <w:numFmt w:val="upperLetter"/>
      <w:start w:val="1"/>
    </w:lvl>
    <w:lvl w:ilvl="1">
      <w:lvlJc w:val="left"/>
      <w:lvlText w:val="(%2)"/>
      <w:numFmt w:val="decimal"/>
      <w:start w:val="1"/>
    </w:lvl>
  </w:abstractNum>
  <w:abstractNum w:abstractNumId="20">
    <w:nsid w:val="7C3DBD3D"/>
    <w:multiLevelType w:val="hybridMultilevel"/>
    <w:lvl w:ilvl="0">
      <w:lvlJc w:val="left"/>
      <w:lvlText w:val="%1."/>
      <w:numFmt w:val="upperLetter"/>
      <w:start w:val="6"/>
    </w:lvl>
  </w:abstractNum>
  <w:abstractNum w:abstractNumId="21">
    <w:nsid w:val="737B8DDC"/>
    <w:multiLevelType w:val="hybridMultilevel"/>
    <w:lvl w:ilvl="0">
      <w:lvlJc w:val="left"/>
      <w:lvlText w:val="J"/>
      <w:numFmt w:val="bullet"/>
      <w:start w:val="1"/>
    </w:lvl>
  </w:abstractNum>
  <w:abstractNum w:abstractNumId="22">
    <w:nsid w:val="6CEAF087"/>
    <w:multiLevelType w:val="hybridMultilevel"/>
    <w:lvl w:ilvl="0">
      <w:lvlJc w:val="left"/>
      <w:lvlText w:val="%1."/>
      <w:numFmt w:val="upperLetter"/>
      <w:start w:val="11"/>
    </w:lvl>
  </w:abstractNum>
  <w:abstractNum w:abstractNumId="23">
    <w:nsid w:val="22221A70"/>
    <w:multiLevelType w:val="hybridMultilevel"/>
    <w:lvl w:ilvl="0">
      <w:lvlJc w:val="left"/>
      <w:lvlText w:val="%1."/>
      <w:numFmt w:val="upperLetter"/>
      <w:start w:val="1"/>
    </w:lvl>
  </w:abstractNum>
  <w:abstractNum w:abstractNumId="24">
    <w:nsid w:val="4516DDE9"/>
    <w:multiLevelType w:val="hybridMultilevel"/>
    <w:lvl w:ilvl="0">
      <w:lvlJc w:val="left"/>
      <w:lvlText w:val="A"/>
      <w:numFmt w:val="bullet"/>
      <w:start w:val="1"/>
    </w:lvl>
  </w:abstractNum>
  <w:abstractNum w:abstractNumId="25">
    <w:nsid w:val="3006C83E"/>
    <w:multiLevelType w:val="hybridMultilevel"/>
    <w:lvl w:ilvl="0">
      <w:lvlJc w:val="left"/>
      <w:lvlText w:val="%1."/>
      <w:numFmt w:val="upperLetter"/>
      <w:start w:val="2"/>
    </w:lvl>
  </w:abstractNum>
  <w:abstractNum w:abstractNumId="26">
    <w:nsid w:val="614FD4A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7">
    <w:nsid w:val="419AC241"/>
    <w:multiLevelType w:val="hybridMultilevel"/>
    <w:lvl w:ilvl="0">
      <w:lvlJc w:val="left"/>
      <w:lvlText w:val="%1."/>
      <w:numFmt w:val="upperLetter"/>
      <w:start w:val="1"/>
    </w:lvl>
  </w:abstractNum>
  <w:abstractNum w:abstractNumId="28">
    <w:nsid w:val="5577F8E1"/>
    <w:multiLevelType w:val="hybridMultilevel"/>
    <w:lvl w:ilvl="0">
      <w:lvlJc w:val="left"/>
      <w:lvlText w:val="%1."/>
      <w:numFmt w:val="upperLetter"/>
      <w:start w:val="3"/>
    </w:lvl>
  </w:abstractNum>
  <w:abstractNum w:abstractNumId="29">
    <w:nsid w:val="440BADFC"/>
    <w:multiLevelType w:val="hybridMultilevel"/>
    <w:lvl w:ilvl="0">
      <w:lvlJc w:val="left"/>
      <w:lvlText w:val="%1."/>
      <w:numFmt w:val="upperLetter"/>
      <w:start w:val="1"/>
    </w:lvl>
  </w:abstractNum>
  <w:abstractNum w:abstractNumId="30">
    <w:nsid w:val="5072367"/>
    <w:multiLevelType w:val="hybridMultilevel"/>
    <w:lvl w:ilvl="0">
      <w:lvlJc w:val="left"/>
      <w:lvlText w:val="%1"/>
      <w:numFmt w:val="upperLetter"/>
      <w:start w:val="1"/>
    </w:lvl>
    <w:lvl w:ilvl="1">
      <w:lvlJc w:val="left"/>
      <w:lvlText w:val="%2."/>
      <w:numFmt w:val="upperLetter"/>
      <w:start w:val="2"/>
    </w:lvl>
  </w:abstractNum>
  <w:abstractNum w:abstractNumId="31">
    <w:nsid w:val="3804823E"/>
    <w:multiLevelType w:val="hybridMultilevel"/>
    <w:lvl w:ilvl="0">
      <w:lvlJc w:val="left"/>
      <w:lvlText w:val="%1."/>
      <w:numFmt w:val="upperLetter"/>
      <w:start w:val="24"/>
    </w:lvl>
    <w:lvl w:ilvl="1">
      <w:lvlJc w:val="left"/>
      <w:lvlText w:val="%2."/>
      <w:numFmt w:val="upperLetter"/>
      <w:start w:val="1"/>
    </w:lvl>
  </w:abstractNum>
  <w:abstractNum w:abstractNumId="32">
    <w:nsid w:val="77465F01"/>
    <w:multiLevelType w:val="hybridMultilevel"/>
    <w:lvl w:ilvl="0">
      <w:lvlJc w:val="left"/>
      <w:lvlText w:val="%1."/>
      <w:numFmt w:val="upperLetter"/>
      <w:start w:val="2"/>
    </w:lvl>
  </w:abstractNum>
  <w:abstractNum w:abstractNumId="33">
    <w:nsid w:val="7724C67E"/>
    <w:multiLevelType w:val="hybridMultilevel"/>
    <w:lvl w:ilvl="0">
      <w:lvlJc w:val="left"/>
      <w:lvlText w:val="%1."/>
      <w:numFmt w:val="decimal"/>
      <w:start w:val="1"/>
    </w:lvl>
    <w:lvl w:ilvl="1">
      <w:lvlJc w:val="left"/>
      <w:lvlText w:val="(%2)"/>
      <w:numFmt w:val="lowerRoman"/>
      <w:start w:val="2"/>
    </w:lvl>
  </w:abstractNum>
  <w:abstractNum w:abstractNumId="34">
    <w:nsid w:val="5C482A97"/>
    <w:multiLevelType w:val="hybridMultilevel"/>
    <w:lvl w:ilvl="0">
      <w:lvlJc w:val="left"/>
      <w:lvlText w:val="%1"/>
      <w:numFmt w:val="decimal"/>
      <w:start w:val="1"/>
    </w:lvl>
    <w:lvl w:ilvl="1">
      <w:lvlJc w:val="left"/>
      <w:lvlText w:val="(%2)"/>
      <w:numFmt w:val="upperLetter"/>
      <w:start w:val="1"/>
    </w:lvl>
  </w:abstractNum>
  <w:abstractNum w:abstractNumId="35">
    <w:nsid w:val="2463B9EA"/>
    <w:multiLevelType w:val="hybridMultilevel"/>
    <w:lvl w:ilvl="0">
      <w:lvlJc w:val="left"/>
      <w:lvlText w:val="(%1)"/>
      <w:numFmt w:val="decimal"/>
      <w:start w:val="2"/>
    </w:lvl>
    <w:lvl w:ilvl="1">
      <w:lvlJc w:val="left"/>
      <w:lvlText w:val="%2"/>
      <w:numFmt w:val="upperLetter"/>
      <w:start w:val="1"/>
    </w:lvl>
  </w:abstractNum>
  <w:abstractNum w:abstractNumId="36">
    <w:nsid w:val="5E884ADC"/>
    <w:multiLevelType w:val="hybridMultilevel"/>
    <w:lvl w:ilvl="0">
      <w:lvlJc w:val="left"/>
      <w:lvlText w:val="(%1)"/>
      <w:numFmt w:val="upperLetter"/>
      <w:start w:val="9"/>
    </w:lvl>
    <w:lvl w:ilvl="1">
      <w:lvlJc w:val="left"/>
      <w:lvlText w:val="(%2)"/>
      <w:numFmt w:val="upperLetter"/>
      <w:start w:val="2"/>
    </w:lvl>
  </w:abstractNum>
  <w:abstractNum w:abstractNumId="37">
    <w:nsid w:val="51EAD36B"/>
    <w:multiLevelType w:val="hybridMultilevel"/>
    <w:lvl w:ilvl="0">
      <w:lvlJc w:val="left"/>
      <w:lvlText w:val="(%1)"/>
      <w:numFmt w:val="upperLetter"/>
      <w:start w:val="3"/>
    </w:lvl>
  </w:abstractNum>
  <w:abstractNum w:abstractNumId="38">
    <w:nsid w:val="2D517796"/>
    <w:multiLevelType w:val="hybridMultilevel"/>
    <w:lvl w:ilvl="0">
      <w:lvlJc w:val="left"/>
      <w:lvlText w:val="%1."/>
      <w:numFmt w:val="decimal"/>
      <w:start w:val="2"/>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60"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47" Type="http://schemas.openxmlformats.org/officeDocument/2006/relationships/hyperlink" Target="https://www.sec.gov/Archives/edgar/data/933034/000095012317008407/strt-ex31_23.htm" TargetMode="External"/><Relationship Id="rId50" Type="http://schemas.openxmlformats.org/officeDocument/2006/relationships/hyperlink" Target="https://www.sec.gov/Archives/edgar/data/933034/000156459019041294/strt-ex31_96.htm" TargetMode="External"/><Relationship Id="rId53" Type="http://schemas.openxmlformats.org/officeDocument/2006/relationships/hyperlink" Target="https://www.sec.gov/Archives/edgar/data/933034/000114036121035097/brhc10029967_ex3-1.htm" TargetMode="External"/><Relationship Id="rId56" Type="http://schemas.openxmlformats.org/officeDocument/2006/relationships/hyperlink" Target="https://www.sec.gov/Archives/edgar/data/933034/000095017024116723/strt-ex3_ex-3-1-articles.htm" TargetMode="External"/><Relationship Id="rId59" Type="http://schemas.openxmlformats.org/officeDocument/2006/relationships/hyperlink" Target="https://www.sec.gov/Archives/edgar/data/933034/000095017024116723/strt-ex3_ex-3-2-bylaws.htm" TargetMode="External"/><Relationship Id="rId61" Type="http://schemas.openxmlformats.org/officeDocument/2006/relationships/hyperlink" Target="https://www.sec.gov/Archives/edgar/data/933034/000095017024116723/strt-ex10_ex-10-1-eip.htm" TargetMode="External"/><Relationship Id="rId66" Type="http://schemas.openxmlformats.org/officeDocument/2006/relationships/hyperlink" Target="https://www.sec.gov/Archives/edgar/data/933034/000095017024119619/strt-ex10_1.htm" TargetMode="External"/><Relationship Id="rId70" Type="http://schemas.openxmlformats.org/officeDocument/2006/relationships/hyperlink" Target="https://www.sec.gov/Archives/edgar/data/933034/000095017024119619/strt-ex10_2.htm" TargetMode="External"/><Relationship Id="rId74" Type="http://schemas.openxmlformats.org/officeDocument/2006/relationships/hyperlink" Target="https://www.sec.gov/Archives/edgar/data/933034/000095017024119619/strt-ex10_3.htm" TargetMode="External"/><Relationship Id="rId78" Type="http://schemas.openxmlformats.org/officeDocument/2006/relationships/hyperlink" Target="https://www.sec.gov/Archives/edgar/data/933034/000095017024119619/strt-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2024-11-07T15:46:13Z</dcterms:created>
  <dcterms:modified xsi:type="dcterms:W3CDTF">2024-11-07T15:46:13Z</dcterms:modified>
</cp:coreProperties>
</file>