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6" w:lineRule="exact"/>
        <w:rPr>
          <w:sz w:val="24"/>
          <w:szCs w:val="24"/>
          <w:color w:val="auto"/>
        </w:rPr>
      </w:pPr>
    </w:p>
    <w:p>
      <w:pPr>
        <w:ind w:left="460" w:right="240" w:hanging="439"/>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-338455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29, 2024</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60" w:right="240" w:hanging="439"/>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-5080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0-25150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STRATTEC SECURITY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00" w:type="dxa"/>
        <w:tblCellMar>
          <w:top w:w="0" w:type="dxa"/>
          <w:left w:w="0" w:type="dxa"/>
          <w:bottom w:w="0" w:type="dxa"/>
          <w:right w:w="0" w:type="dxa"/>
        </w:tblCellMar>
      </w:tblPr>
      <w:tr>
        <w:trPr>
          <w:trHeight w:val="214"/>
        </w:trPr>
        <w:tc>
          <w:tcPr>
            <w:tcW w:w="3500" w:type="dxa"/>
            <w:vAlign w:val="bottom"/>
          </w:tcPr>
          <w:p>
            <w:pPr>
              <w:jc w:val="center"/>
              <w:ind w:left="1734"/>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jc w:val="right"/>
              <w:ind w:right="2215"/>
              <w:spacing w:after="0"/>
              <w:rPr>
                <w:sz w:val="20"/>
                <w:szCs w:val="20"/>
                <w:color w:val="auto"/>
              </w:rPr>
            </w:pPr>
            <w:r>
              <w:rPr>
                <w:rFonts w:ascii="Times New Roman" w:cs="Times New Roman" w:eastAsia="Times New Roman" w:hAnsi="Times New Roman"/>
                <w:sz w:val="18"/>
                <w:szCs w:val="18"/>
                <w:b w:val="1"/>
                <w:bCs w:val="1"/>
                <w:color w:val="auto"/>
              </w:rPr>
              <w:t>39-1804239</w:t>
            </w:r>
          </w:p>
        </w:tc>
      </w:tr>
      <w:tr>
        <w:trPr>
          <w:trHeight w:val="190"/>
        </w:trPr>
        <w:tc>
          <w:tcPr>
            <w:tcW w:w="3500" w:type="dxa"/>
            <w:vAlign w:val="bottom"/>
          </w:tcPr>
          <w:p>
            <w:pPr>
              <w:jc w:val="center"/>
              <w:ind w:left="1754"/>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80" w:type="dxa"/>
            <w:vAlign w:val="bottom"/>
          </w:tcPr>
          <w:p>
            <w:pPr>
              <w:jc w:val="center"/>
              <w:ind w:right="117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82"/>
        </w:trPr>
        <w:tc>
          <w:tcPr>
            <w:tcW w:w="3500" w:type="dxa"/>
            <w:vAlign w:val="bottom"/>
          </w:tcPr>
          <w:p>
            <w:pPr>
              <w:spacing w:after="0"/>
              <w:rPr>
                <w:sz w:val="24"/>
                <w:szCs w:val="24"/>
                <w:color w:val="auto"/>
              </w:rPr>
            </w:pPr>
          </w:p>
        </w:tc>
        <w:tc>
          <w:tcPr>
            <w:tcW w:w="7620" w:type="dxa"/>
            <w:vAlign w:val="bottom"/>
            <w:gridSpan w:val="7"/>
          </w:tcPr>
          <w:p>
            <w:pPr>
              <w:jc w:val="center"/>
              <w:ind w:right="3475"/>
              <w:spacing w:after="0"/>
              <w:rPr>
                <w:sz w:val="20"/>
                <w:szCs w:val="20"/>
                <w:color w:val="auto"/>
              </w:rPr>
            </w:pPr>
            <w:r>
              <w:rPr>
                <w:rFonts w:ascii="Times New Roman" w:cs="Times New Roman" w:eastAsia="Times New Roman" w:hAnsi="Times New Roman"/>
                <w:sz w:val="18"/>
                <w:szCs w:val="18"/>
                <w:b w:val="1"/>
                <w:bCs w:val="1"/>
                <w:color w:val="auto"/>
                <w:w w:val="99"/>
              </w:rPr>
              <w:t>3333 West Good Hope Road, Milwaukee, WI 53209</w:t>
            </w: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spacing w:after="0"/>
              <w:rPr>
                <w:sz w:val="16"/>
                <w:szCs w:val="16"/>
                <w:color w:val="auto"/>
              </w:rPr>
            </w:pPr>
          </w:p>
        </w:tc>
      </w:tr>
      <w:tr>
        <w:trPr>
          <w:trHeight w:val="282"/>
        </w:trPr>
        <w:tc>
          <w:tcPr>
            <w:tcW w:w="3500" w:type="dxa"/>
            <w:vAlign w:val="bottom"/>
          </w:tcPr>
          <w:p>
            <w:pPr>
              <w:spacing w:after="0"/>
              <w:rPr>
                <w:sz w:val="24"/>
                <w:szCs w:val="24"/>
                <w:color w:val="auto"/>
              </w:rPr>
            </w:pPr>
          </w:p>
        </w:tc>
        <w:tc>
          <w:tcPr>
            <w:tcW w:w="314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(414) 247-3333</w:t>
            </w:r>
          </w:p>
        </w:tc>
        <w:tc>
          <w:tcPr>
            <w:tcW w:w="3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20" w:type="dxa"/>
            <w:vAlign w:val="bottom"/>
            <w:gridSpan w:val="6"/>
          </w:tcPr>
          <w:p>
            <w:pPr>
              <w:jc w:val="center"/>
              <w:ind w:right="379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77"/>
        </w:trPr>
        <w:tc>
          <w:tcPr>
            <w:tcW w:w="380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180" w:type="dxa"/>
            <w:vAlign w:val="bottom"/>
          </w:tcPr>
          <w:p>
            <w:pPr>
              <w:spacing w:after="0"/>
              <w:rPr>
                <w:sz w:val="6"/>
                <w:szCs w:val="6"/>
                <w:color w:val="auto"/>
              </w:rPr>
            </w:pPr>
          </w:p>
        </w:tc>
      </w:tr>
      <w:tr>
        <w:trPr>
          <w:trHeight w:val="318"/>
        </w:trPr>
        <w:tc>
          <w:tcPr>
            <w:tcW w:w="69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80" w:type="dxa"/>
            <w:vAlign w:val="bottom"/>
          </w:tcPr>
          <w:p>
            <w:pPr>
              <w:spacing w:after="0"/>
              <w:rPr>
                <w:sz w:val="24"/>
                <w:szCs w:val="24"/>
                <w:color w:val="auto"/>
              </w:rPr>
            </w:pPr>
          </w:p>
        </w:tc>
      </w:tr>
      <w:tr>
        <w:trPr>
          <w:trHeight w:val="24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 w:type="dxa"/>
            <w:vAlign w:val="bottom"/>
          </w:tcPr>
          <w:p>
            <w:pPr>
              <w:spacing w:after="0"/>
              <w:rPr>
                <w:sz w:val="21"/>
                <w:szCs w:val="21"/>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00" w:type="dxa"/>
            <w:vAlign w:val="bottom"/>
          </w:tcPr>
          <w:p>
            <w:pPr>
              <w:spacing w:after="0"/>
              <w:rPr>
                <w:sz w:val="21"/>
                <w:szCs w:val="21"/>
                <w:color w:val="auto"/>
              </w:rPr>
            </w:pPr>
          </w:p>
        </w:tc>
        <w:tc>
          <w:tcPr>
            <w:tcW w:w="880" w:type="dxa"/>
            <w:vAlign w:val="bottom"/>
            <w:tcBorders>
              <w:bottom w:val="single" w:sz="8" w:color="auto"/>
            </w:tcBorders>
            <w:gridSpan w:val="2"/>
          </w:tcPr>
          <w:p>
            <w:pPr>
              <w:spacing w:after="0"/>
              <w:rPr>
                <w:sz w:val="21"/>
                <w:szCs w:val="21"/>
                <w:color w:val="auto"/>
              </w:rPr>
            </w:pPr>
          </w:p>
        </w:tc>
        <w:tc>
          <w:tcPr>
            <w:tcW w:w="418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color w:val="auto"/>
                <w:w w:val="99"/>
              </w:rPr>
              <w:t>STRT</w:t>
            </w:r>
          </w:p>
        </w:tc>
        <w:tc>
          <w:tcPr>
            <w:tcW w:w="4180" w:type="dxa"/>
            <w:vAlign w:val="bottom"/>
          </w:tcPr>
          <w:p>
            <w:pPr>
              <w:jc w:val="center"/>
              <w:ind w:right="795"/>
              <w:spacing w:after="0"/>
              <w:rPr>
                <w:sz w:val="20"/>
                <w:szCs w:val="20"/>
                <w:color w:val="auto"/>
              </w:rPr>
            </w:pPr>
            <w:r>
              <w:rPr>
                <w:rFonts w:ascii="Times New Roman" w:cs="Times New Roman" w:eastAsia="Times New Roman" w:hAnsi="Times New Roman"/>
                <w:sz w:val="18"/>
                <w:szCs w:val="18"/>
                <w:color w:val="auto"/>
                <w:w w:val="99"/>
              </w:rPr>
              <w:t>The Nasdaq Global Stock Market</w:t>
            </w:r>
          </w:p>
        </w:tc>
      </w:tr>
    </w:tbl>
    <w:p>
      <w:pPr>
        <w:spacing w:after="0" w:line="90" w:lineRule="exact"/>
        <w:rPr>
          <w:sz w:val="24"/>
          <w:szCs w:val="24"/>
          <w:color w:val="auto"/>
        </w:rPr>
      </w:pPr>
    </w:p>
    <w:p>
      <w:pPr>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firstLine="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916" w:right="35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200"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57" w:lineRule="exact"/>
        <w:rPr>
          <w:sz w:val="24"/>
          <w:szCs w:val="24"/>
          <w:color w:val="auto"/>
        </w:rPr>
      </w:pPr>
    </w:p>
    <w:p>
      <w:pPr>
        <w:sectPr>
          <w:pgSz w:w="11900" w:h="16838" w:orient="portrait"/>
          <w:cols w:equalWidth="0" w:num="2">
            <w:col w:w="2000" w:space="520"/>
            <w:col w:w="8700"/>
          </w:cols>
          <w:pgMar w:left="320" w:top="916" w:right="359" w:bottom="1440" w:gutter="0" w:footer="0" w:header="0"/>
          <w:type w:val="continuous"/>
        </w:sectPr>
      </w:pPr>
    </w:p>
    <w:p>
      <w:pPr>
        <w:ind w:right="180" w:firstLine="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00" w:right="15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50" w:lineRule="exact"/>
        <w:rPr>
          <w:sz w:val="24"/>
          <w:szCs w:val="24"/>
          <w:color w:val="auto"/>
        </w:rPr>
      </w:pPr>
    </w:p>
    <w:p>
      <w:pPr>
        <w:ind w:right="660" w:firstLine="300"/>
        <w:spacing w:after="0" w:line="282" w:lineRule="auto"/>
        <w:rPr>
          <w:sz w:val="20"/>
          <w:szCs w:val="20"/>
          <w:color w:val="auto"/>
        </w:rPr>
      </w:pPr>
      <w:r>
        <w:rPr>
          <w:rFonts w:ascii="Times New Roman" w:cs="Times New Roman" w:eastAsia="Times New Roman" w:hAnsi="Times New Roman"/>
          <w:sz w:val="18"/>
          <w:szCs w:val="18"/>
          <w:color w:val="auto"/>
        </w:rPr>
        <w:t>Common stock, par value $0.01 per share: 4,172,217 shares outstanding as of December 30, 2024 (which number includes all restricted shares previously awarded that have not vested as of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STRATTEC SECURITY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29, 2024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02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220" w:type="dxa"/>
            <w:vAlign w:val="bottom"/>
            <w:gridSpan w:val="16"/>
            <w:vMerge w:val="continue"/>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40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Condensed Consolidated Statements of Income and Comprehensive Income (Unaudited)</w:t>
            </w:r>
          </w:p>
        </w:tc>
        <w:tc>
          <w:tcPr>
            <w:tcW w:w="2900" w:type="dxa"/>
            <w:vAlign w:val="bottom"/>
            <w:gridSpan w:val="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Condensed Consolidated Balance Sheets (Unaudited)</w:t>
            </w:r>
          </w:p>
        </w:tc>
        <w:tc>
          <w:tcPr>
            <w:tcW w:w="544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Condensed Consolidated Statements of Cash Flows (Unaudited)</w:t>
            </w:r>
          </w:p>
        </w:tc>
        <w:tc>
          <w:tcPr>
            <w:tcW w:w="4660" w:type="dxa"/>
            <w:vAlign w:val="bottom"/>
            <w:gridSpan w:val="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92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Notes to Condensed Consolidated Financial Statements (Unaudited)</w:t>
            </w:r>
          </w:p>
        </w:tc>
        <w:tc>
          <w:tcPr>
            <w:tcW w:w="438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282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Controls and Procedures</w:t>
            </w:r>
          </w:p>
        </w:tc>
        <w:tc>
          <w:tcPr>
            <w:tcW w:w="2580" w:type="dxa"/>
            <w:vAlign w:val="bottom"/>
            <w:tcBorders>
              <w:top w:val="single" w:sz="8" w:color="auto"/>
            </w:tcBorders>
            <w:gridSpan w:val="3"/>
          </w:tcPr>
          <w:p>
            <w:pPr>
              <w:spacing w:after="0"/>
              <w:rPr>
                <w:sz w:val="17"/>
                <w:szCs w:val="17"/>
                <w:color w:val="auto"/>
              </w:rPr>
            </w:pPr>
          </w:p>
        </w:tc>
        <w:tc>
          <w:tcPr>
            <w:tcW w:w="4940" w:type="dxa"/>
            <w:vAlign w:val="bottom"/>
            <w:gridSpan w:val="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13"/>
        </w:trPr>
        <w:tc>
          <w:tcPr>
            <w:tcW w:w="102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Legal Proceedings</w:t>
            </w:r>
          </w:p>
        </w:tc>
        <w:tc>
          <w:tcPr>
            <w:tcW w:w="7960" w:type="dxa"/>
            <w:vAlign w:val="bottom"/>
            <w:gridSpan w:val="11"/>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Risk Factors</w:t>
            </w:r>
          </w:p>
        </w:tc>
        <w:tc>
          <w:tcPr>
            <w:tcW w:w="8380" w:type="dxa"/>
            <w:vAlign w:val="bottom"/>
            <w:gridSpan w:val="1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160" w:type="dxa"/>
            <w:vAlign w:val="bottom"/>
            <w:tcBorders>
              <w:bottom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w w:val="99"/>
              </w:rPr>
              <w:t>Unregistered Sales of Equity Securities, Use of Proceeds, and Issuer Purchases of Equity Securities</w:t>
            </w:r>
          </w:p>
        </w:tc>
        <w:tc>
          <w:tcPr>
            <w:tcW w:w="2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Mine Safety Disclosures</w:t>
            </w:r>
          </w:p>
        </w:tc>
        <w:tc>
          <w:tcPr>
            <w:tcW w:w="540" w:type="dxa"/>
            <w:vAlign w:val="bottom"/>
            <w:tcBorders>
              <w:top w:val="single" w:sz="8" w:color="auto"/>
            </w:tcBorders>
          </w:tcPr>
          <w:p>
            <w:pPr>
              <w:spacing w:after="0"/>
              <w:rPr>
                <w:sz w:val="17"/>
                <w:szCs w:val="17"/>
                <w:color w:val="auto"/>
              </w:rPr>
            </w:pPr>
          </w:p>
        </w:tc>
        <w:tc>
          <w:tcPr>
            <w:tcW w:w="698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7980" w:type="dxa"/>
            <w:vAlign w:val="bottom"/>
            <w:gridSpan w:val="1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PROSPECTIVE INFORMATION</w:t>
      </w:r>
    </w:p>
    <w:p>
      <w:pPr>
        <w:spacing w:after="0" w:line="115" w:lineRule="exact"/>
        <w:rPr>
          <w:sz w:val="20"/>
          <w:szCs w:val="20"/>
          <w:color w:val="auto"/>
        </w:rPr>
      </w:pPr>
    </w:p>
    <w:p>
      <w:pPr>
        <w:ind w:right="20" w:firstLine="562"/>
        <w:spacing w:after="0" w:line="271" w:lineRule="auto"/>
        <w:rPr>
          <w:sz w:val="20"/>
          <w:szCs w:val="20"/>
          <w:color w:val="auto"/>
        </w:rPr>
      </w:pPr>
      <w:r>
        <w:rPr>
          <w:rFonts w:ascii="Times New Roman" w:cs="Times New Roman" w:eastAsia="Times New Roman" w:hAnsi="Times New Roman"/>
          <w:sz w:val="16"/>
          <w:szCs w:val="16"/>
          <w:color w:val="auto"/>
        </w:rPr>
        <w:t>A number of the matters and subject areas discussed in this Form 10-Q contain “forward-looking statements” within the meaning of the Private Securities Litigation Reform Act of 1995. These statements may be identified by the use of forward-looking words or phrases such as “anticipate,” “believe,” “could,” “expect,” “intend,” “may,” “planned,” “potential,” “should,” “will,” and “would,” or the negative of these terms or words of similar meaning. These statements include expected future financial results, product offerings, global expansion, liquidity needs, financing ability, planned capital expenditures, management’s or the Company’s expectations and beliefs, and similar matters discussed in this Form 10-Q. The discussion of such matters and subject areas contained herein is qualified by the inherent risks and uncertainties surrounding future expectations generally, and also may materially differ from the Company’s actual future experience.</w:t>
      </w:r>
    </w:p>
    <w:p>
      <w:pPr>
        <w:spacing w:after="0" w:line="49" w:lineRule="exact"/>
        <w:rPr>
          <w:sz w:val="20"/>
          <w:szCs w:val="20"/>
          <w:color w:val="auto"/>
        </w:rPr>
      </w:pPr>
    </w:p>
    <w:p>
      <w:pPr>
        <w:ind w:right="300" w:firstLine="562"/>
        <w:spacing w:after="0" w:line="298" w:lineRule="auto"/>
        <w:rPr>
          <w:sz w:val="20"/>
          <w:szCs w:val="20"/>
          <w:color w:val="auto"/>
        </w:rPr>
      </w:pPr>
      <w:r>
        <w:rPr>
          <w:rFonts w:ascii="Times New Roman" w:cs="Times New Roman" w:eastAsia="Times New Roman" w:hAnsi="Times New Roman"/>
          <w:sz w:val="16"/>
          <w:szCs w:val="16"/>
          <w:color w:val="auto"/>
        </w:rPr>
        <w:t>The Company’s business, operations and financial performance are subject to certain risks and uncertainties, which could result in material differences in actual results from the Company’s current expectations, including:</w:t>
      </w:r>
    </w:p>
    <w:p>
      <w:pPr>
        <w:spacing w:after="0" w:line="43" w:lineRule="exact"/>
        <w:rPr>
          <w:sz w:val="20"/>
          <w:szCs w:val="20"/>
          <w:color w:val="auto"/>
        </w:rPr>
      </w:pPr>
    </w:p>
    <w:p>
      <w:pPr>
        <w:ind w:left="580" w:right="340" w:hanging="378"/>
        <w:spacing w:after="0" w:line="269"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uncertain economic environment and inflationary conditions coupled with the cyclical nature of the automotive industry may adversely affect global vehicle production and demand for our products;</w:t>
      </w:r>
    </w:p>
    <w:p>
      <w:pPr>
        <w:ind w:left="580" w:hanging="378"/>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market and technological developments within our sphere of offerings are rapidly evolving;</w:t>
      </w:r>
    </w:p>
    <w:p>
      <w:pPr>
        <w:spacing w:after="0" w:line="18" w:lineRule="exact"/>
        <w:rPr>
          <w:rFonts w:ascii="Times New Roman" w:cs="Times New Roman" w:eastAsia="Times New Roman" w:hAnsi="Times New Roman"/>
          <w:sz w:val="16"/>
          <w:szCs w:val="16"/>
          <w:color w:val="auto"/>
        </w:rPr>
      </w:pPr>
    </w:p>
    <w:p>
      <w:pPr>
        <w:ind w:left="580" w:right="36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 purchasing actions, warranty provisions and product recall policies could adversely affect our business, results of operations and financial condition;</w:t>
      </w:r>
    </w:p>
    <w:p>
      <w:pPr>
        <w:ind w:left="580" w:right="10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 stoppages within our operations or at the location of our key customers as a result of labor disputes could adversely impact our business, results of operations and financial condition;</w:t>
      </w:r>
    </w:p>
    <w:p>
      <w:pPr>
        <w:ind w:left="580" w:right="2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and restrictions impacting the import of goods and components stemming from heightened security procedures or changes in policies implemented by the U.S. Government related to U.S.-Mexico border crossings could have a negative effect on our business;</w:t>
      </w:r>
    </w:p>
    <w:p>
      <w:pPr>
        <w:ind w:left="580" w:right="4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the volume and scope of product returns or customer cost reimbursement actions could adversely impact our business, results of operations and financial condition;</w:t>
      </w:r>
    </w:p>
    <w:p>
      <w:pPr>
        <w:ind w:left="580" w:right="3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changes in the costs of operations, warranty claims, adverse business and operational issues could be affected by a material global supply chain and logistics disruption;</w:t>
      </w:r>
    </w:p>
    <w:p>
      <w:pPr>
        <w:ind w:left="580" w:right="10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shortages in the supply of semiconductor chips and other matters adversely impacting the timing, availability and costs of material component parts and raw materials for the production of our products could adversely affect our business, results of operations and financial condition;</w:t>
      </w:r>
    </w:p>
    <w:p>
      <w:pPr>
        <w:ind w:left="580" w:hanging="378"/>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and geopolitical conditions, including regional conflicts, could adversely affect our business, results of operations and financial condition;</w:t>
      </w:r>
    </w:p>
    <w:p>
      <w:pPr>
        <w:spacing w:after="0" w:line="18" w:lineRule="exact"/>
        <w:rPr>
          <w:rFonts w:ascii="Times New Roman" w:cs="Times New Roman" w:eastAsia="Times New Roman" w:hAnsi="Times New Roman"/>
          <w:sz w:val="16"/>
          <w:szCs w:val="16"/>
          <w:color w:val="auto"/>
        </w:rPr>
      </w:pPr>
    </w:p>
    <w:p>
      <w:pPr>
        <w:ind w:left="580" w:right="220" w:hanging="378"/>
        <w:spacing w:after="0" w:line="288"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to our information security management systems and cybersecurity incidents could adversely affect our business, results of operations and financial condition;</w:t>
      </w:r>
    </w:p>
    <w:p>
      <w:pPr>
        <w:spacing w:after="0" w:line="50" w:lineRule="exact"/>
        <w:rPr>
          <w:sz w:val="20"/>
          <w:szCs w:val="20"/>
          <w:color w:val="auto"/>
        </w:rPr>
      </w:pPr>
    </w:p>
    <w:p>
      <w:pPr>
        <w:ind w:right="780"/>
        <w:spacing w:after="0" w:line="298" w:lineRule="auto"/>
        <w:rPr>
          <w:sz w:val="20"/>
          <w:szCs w:val="20"/>
          <w:color w:val="auto"/>
        </w:rPr>
      </w:pPr>
      <w:r>
        <w:rPr>
          <w:rFonts w:ascii="Times New Roman" w:cs="Times New Roman" w:eastAsia="Times New Roman" w:hAnsi="Times New Roman"/>
          <w:sz w:val="16"/>
          <w:szCs w:val="16"/>
          <w:color w:val="auto"/>
        </w:rPr>
        <w:t>and other matters described in the section titled “Risk Factors” in the Company’s Form 10-K report filed on September 5, 2024 with the Securities and Exchange Commission (“SEC”) for the year ended June 30, 2024 (the “Annual Report”).</w:t>
      </w:r>
    </w:p>
    <w:p>
      <w:pPr>
        <w:spacing w:after="0" w:line="29" w:lineRule="exact"/>
        <w:rPr>
          <w:sz w:val="20"/>
          <w:szCs w:val="20"/>
          <w:color w:val="auto"/>
        </w:rPr>
      </w:pPr>
    </w:p>
    <w:p>
      <w:pPr>
        <w:jc w:val="both"/>
        <w:ind w:right="120" w:firstLine="562"/>
        <w:spacing w:after="0" w:line="281" w:lineRule="auto"/>
        <w:rPr>
          <w:sz w:val="20"/>
          <w:szCs w:val="20"/>
          <w:color w:val="auto"/>
        </w:rPr>
      </w:pPr>
      <w:r>
        <w:rPr>
          <w:rFonts w:ascii="Times New Roman" w:cs="Times New Roman" w:eastAsia="Times New Roman" w:hAnsi="Times New Roman"/>
          <w:sz w:val="16"/>
          <w:szCs w:val="16"/>
          <w:color w:val="auto"/>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10-Q and the Company undertakes no obligation to publicly update such forward-looking statements to reflect subsequent events or circumstances occurring after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 and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302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129,919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118,532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268,971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112,768</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105,035</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232,899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selling and administrative expenses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(257 )</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(219 )</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(552 )</w:t>
            </w: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(439 )</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(482 )</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(353 )</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Income before provision for</w:t>
            </w:r>
          </w:p>
        </w:tc>
        <w:tc>
          <w:tcPr>
            <w:tcW w:w="18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income taxes and non-controlling interest</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w:t>
            </w:r>
          </w:p>
        </w:tc>
        <w:tc>
          <w:tcPr>
            <w:tcW w:w="1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(242 )</w:t>
            </w:r>
          </w:p>
        </w:tc>
        <w:tc>
          <w:tcPr>
            <w:tcW w:w="1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controlling interest</w:t>
            </w: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70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Net income attributable to STRATTEC</w:t>
            </w: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00" w:type="dxa"/>
            <w:vAlign w:val="bottom"/>
            <w:shd w:val="clear" w:color="auto" w:fill="CFF0FC"/>
          </w:tcPr>
          <w:p>
            <w:pPr>
              <w:spacing w:after="0"/>
              <w:rPr>
                <w:sz w:val="16"/>
                <w:szCs w:val="16"/>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shd w:val="clear" w:color="auto" w:fill="CFF0FC"/>
          </w:tcPr>
          <w:p>
            <w:pPr>
              <w:spacing w:after="0"/>
              <w:rPr>
                <w:sz w:val="16"/>
                <w:szCs w:val="16"/>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80" w:type="dxa"/>
            <w:vAlign w:val="bottom"/>
            <w:shd w:val="clear" w:color="auto" w:fill="CFF0FC"/>
          </w:tcPr>
          <w:p>
            <w:pPr>
              <w:spacing w:after="0"/>
              <w:rPr>
                <w:sz w:val="16"/>
                <w:szCs w:val="16"/>
                <w:color w:val="auto"/>
              </w:rPr>
            </w:pPr>
          </w:p>
        </w:tc>
        <w:tc>
          <w:tcPr>
            <w:tcW w:w="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FF0FC"/>
            </w:tcBorders>
            <w:shd w:val="clear" w:color="auto" w:fill="CFF0FC"/>
          </w:tcPr>
          <w:p>
            <w:pPr>
              <w:ind w:left="480"/>
              <w:spacing w:after="0" w:line="194" w:lineRule="exact"/>
              <w:rPr>
                <w:sz w:val="20"/>
                <w:szCs w:val="20"/>
                <w:color w:val="auto"/>
              </w:rPr>
            </w:pPr>
            <w:r>
              <w:rPr>
                <w:rFonts w:ascii="Times New Roman" w:cs="Times New Roman" w:eastAsia="Times New Roman" w:hAnsi="Times New Roman"/>
                <w:sz w:val="18"/>
                <w:szCs w:val="18"/>
                <w:color w:val="auto"/>
              </w:rPr>
              <w:t>SECURITY CORPORATION</w:t>
            </w: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postretirement plans, net of tax</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(1,245 )</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(4,005 )</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(1,209 )</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(3,713 )</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Comprehensive (loss) income attributable to</w:t>
            </w:r>
          </w:p>
        </w:tc>
        <w:tc>
          <w:tcPr>
            <w:tcW w:w="180" w:type="dxa"/>
            <w:vAlign w:val="bottom"/>
            <w:shd w:val="clear" w:color="auto" w:fill="CFF0FC"/>
          </w:tcPr>
          <w:p>
            <w:pPr>
              <w:spacing w:after="0"/>
              <w:rPr>
                <w:sz w:val="17"/>
                <w:szCs w:val="17"/>
                <w:color w:val="auto"/>
              </w:rPr>
            </w:pPr>
          </w:p>
        </w:tc>
        <w:tc>
          <w:tcPr>
            <w:tcW w:w="14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(407 )</w:t>
            </w:r>
          </w:p>
        </w:tc>
        <w:tc>
          <w:tcPr>
            <w:tcW w:w="18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(1,451 )</w:t>
            </w:r>
          </w:p>
        </w:tc>
        <w:tc>
          <w:tcPr>
            <w:tcW w:w="20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CFF0FC"/>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Comprehensive income attributable to</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480"/>
              <w:spacing w:after="0" w:line="194" w:lineRule="exact"/>
              <w:rPr>
                <w:sz w:val="20"/>
                <w:szCs w:val="20"/>
                <w:color w:val="auto"/>
              </w:rPr>
            </w:pPr>
            <w:r>
              <w:rPr>
                <w:rFonts w:ascii="Times New Roman" w:cs="Times New Roman" w:eastAsia="Times New Roman" w:hAnsi="Times New Roman"/>
                <w:sz w:val="18"/>
                <w:szCs w:val="18"/>
                <w:color w:val="auto"/>
              </w:rPr>
              <w:t>STRATTEC SECURITY CORPORATION</w:t>
            </w: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7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Earnings per share attributable to</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STRATTEC SECURITY CORPORATION: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7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-2668270</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-2651125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-2668270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-2651125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-2668270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-2651125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-2668270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-2651125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-1871345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-1871345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-1871345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-1871345</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-1459865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-1459865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-1459865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-1459865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-688340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-671195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-688340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-671195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-688340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-671195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-688340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-671195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 of Income and Comprehensive Income.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300" w:type="dxa"/>
            <w:vAlign w:val="bottom"/>
          </w:tcPr>
          <w:p>
            <w:pPr>
              <w:spacing w:after="0"/>
              <w:rPr>
                <w:sz w:val="13"/>
                <w:szCs w:val="13"/>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Finished products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Purchased materials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49,241</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Pre-production costs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Value-added tax recoverable</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253,934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79,272</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355,895</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Payroll and benefits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Value-added tax payable</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Environmental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97,575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Postemployment obligations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authorized 18,000,000 shares, $.01 par value, 7,635,883</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shares at December 29, 2024 and 7,586,920 issued shares at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2024</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102,118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(17,827 )</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(15,689 )</w:t>
            </w:r>
          </w:p>
        </w:tc>
        <w:tc>
          <w:tcPr>
            <w:tcW w:w="0" w:type="dxa"/>
            <w:vAlign w:val="bottom"/>
          </w:tcPr>
          <w:p>
            <w:pPr>
              <w:spacing w:after="0"/>
              <w:rPr>
                <w:sz w:val="1"/>
                <w:szCs w:val="1"/>
                <w:color w:val="auto"/>
              </w:rPr>
            </w:pPr>
          </w:p>
        </w:tc>
      </w:tr>
      <w:tr>
        <w:trPr>
          <w:trHeight w:val="198"/>
        </w:trPr>
        <w:tc>
          <w:tcPr>
            <w:tcW w:w="76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Less: treasury stock, at cost (3,597,299 shares at December 29, 2024 and</w:t>
            </w:r>
          </w:p>
        </w:tc>
        <w:tc>
          <w:tcPr>
            <w:tcW w:w="240" w:type="dxa"/>
            <w:vAlign w:val="bottom"/>
          </w:tcPr>
          <w:p>
            <w:pPr>
              <w:spacing w:after="0"/>
              <w:rPr>
                <w:sz w:val="17"/>
                <w:szCs w:val="17"/>
                <w:color w:val="auto"/>
              </w:rPr>
            </w:pPr>
          </w:p>
        </w:tc>
        <w:tc>
          <w:tcPr>
            <w:tcW w:w="1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(135,465 )</w:t>
            </w:r>
          </w:p>
        </w:tc>
        <w:tc>
          <w:tcPr>
            <w:tcW w:w="300" w:type="dxa"/>
            <w:vAlign w:val="bottom"/>
          </w:tcPr>
          <w:p>
            <w:pPr>
              <w:spacing w:after="0"/>
              <w:rPr>
                <w:sz w:val="17"/>
                <w:szCs w:val="17"/>
                <w:color w:val="auto"/>
              </w:rPr>
            </w:pPr>
          </w:p>
        </w:tc>
        <w:tc>
          <w:tcPr>
            <w:tcW w:w="1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(135,478 )</w:t>
            </w:r>
          </w:p>
        </w:tc>
        <w:tc>
          <w:tcPr>
            <w:tcW w:w="0" w:type="dxa"/>
            <w:vAlign w:val="bottom"/>
          </w:tcPr>
          <w:p>
            <w:pPr>
              <w:spacing w:after="0"/>
              <w:rPr>
                <w:sz w:val="1"/>
                <w:szCs w:val="1"/>
                <w:color w:val="auto"/>
              </w:rPr>
            </w:pPr>
          </w:p>
        </w:tc>
      </w:tr>
      <w:tr>
        <w:trPr>
          <w:trHeight w:val="221"/>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3,598,126 shares at June 30, 2024)</w:t>
            </w:r>
          </w:p>
        </w:tc>
        <w:tc>
          <w:tcPr>
            <w:tcW w:w="24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STRATTEC SECURITY CORPORATION shareholders’ equity</w:t>
            </w:r>
          </w:p>
        </w:tc>
        <w:tc>
          <w:tcPr>
            <w:tcW w:w="2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204,536</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228,155</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355,895</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-3642995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-3625215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-3642995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40" w:type="dxa"/>
            <w:vAlign w:val="bottom"/>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76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31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73"/>
        </w:trPr>
        <w:tc>
          <w:tcPr>
            <w:tcW w:w="7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(1,193 )</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(349 )</w:t>
            </w: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 (gain) on peso forward contracts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(826 )</w:t>
            </w: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settlement of postemployment obligation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(11,842 )</w:t>
            </w:r>
          </w:p>
        </w:tc>
      </w:tr>
      <w:tr>
        <w:trPr>
          <w:trHeight w:val="216"/>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(12,404 )</w:t>
            </w:r>
          </w:p>
        </w:tc>
      </w:tr>
      <w:tr>
        <w:trPr>
          <w:trHeight w:val="216"/>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(3,990 )</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(16,441 )</w:t>
            </w:r>
          </w:p>
        </w:tc>
      </w:tr>
      <w:tr>
        <w:trPr>
          <w:trHeight w:val="216"/>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(4,580 )</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(6,914 )</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interest in joint ventures</w:t>
            </w:r>
          </w:p>
        </w:tc>
        <w:tc>
          <w:tcPr>
            <w:tcW w:w="2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(2,990 )</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(4,393 )</w:t>
            </w:r>
          </w:p>
        </w:tc>
      </w:tr>
      <w:tr>
        <w:trPr>
          <w:trHeight w:val="20"/>
        </w:trPr>
        <w:tc>
          <w:tcPr>
            <w:tcW w:w="7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(2,990 )</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(2,393 )</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borrowings under credit facilities</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(3,000 )</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(2,000 )</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(604 )</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(8,996 )</w:t>
            </w:r>
          </w:p>
        </w:tc>
      </w:tr>
      <w:tr>
        <w:trPr>
          <w:trHeight w:val="122"/>
        </w:trPr>
        <w:tc>
          <w:tcPr>
            <w:tcW w:w="7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-3025140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-2468245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-848360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-831215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 of Cash Flows.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21" w:lineRule="exact"/>
        <w:rPr>
          <w:sz w:val="20"/>
          <w:szCs w:val="20"/>
          <w:color w:val="auto"/>
        </w:rPr>
      </w:pPr>
    </w:p>
    <w:p>
      <w:pPr>
        <w:ind w:right="60" w:firstLine="562"/>
        <w:spacing w:after="0" w:line="258" w:lineRule="auto"/>
        <w:rPr>
          <w:sz w:val="20"/>
          <w:szCs w:val="20"/>
          <w:color w:val="auto"/>
        </w:rPr>
      </w:pPr>
      <w:r>
        <w:rPr>
          <w:rFonts w:ascii="Times New Roman" w:cs="Times New Roman" w:eastAsia="Times New Roman" w:hAnsi="Times New Roman"/>
          <w:sz w:val="18"/>
          <w:szCs w:val="18"/>
          <w:color w:val="auto"/>
        </w:rPr>
        <w:t>STRATTEC SECURITY CORPORATION (the "Company" or “STRATTEC”), headquartered in Milwaukee, Wisconsin, is a leading global provider of advanced automotive access, security, and select user interface solutions. Products include power access solutions such as automated lift gates and power doors, door handles, engineered latches, key fobs, advanced security systems, steering wheel controls, and electronic shifters. While the Company serves major automotive OEMs globally, the majority of sales are to the three largest automobile original equipment manufacturers (“OEMs”) in North America.</w:t>
      </w:r>
    </w:p>
    <w:p>
      <w:pPr>
        <w:spacing w:after="0" w:line="183" w:lineRule="exact"/>
        <w:rPr>
          <w:sz w:val="20"/>
          <w:szCs w:val="20"/>
          <w:color w:val="auto"/>
        </w:rPr>
      </w:pPr>
    </w:p>
    <w:p>
      <w:pPr>
        <w:ind w:right="60" w:firstLine="56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United States generally accepted accounting principles (“GAAP”) for interim financial reporting and with the instructions of Form 10-Q and Article 10 of Regulation S-X. Accordingly, they do not include all of the information and footnotes required by GAAP for complete financial statements. The condensed consolidated balance sheet data as of June 30, 2024 was derived from the Company’s audited financial statements but does not include all disclosures required by GAAP. For additional information, including the Company’s significant accounting policies, refer to the consolidated financial statements and related footnotes in the Annual Report.</w:t>
      </w:r>
    </w:p>
    <w:p>
      <w:pPr>
        <w:spacing w:after="0" w:line="187" w:lineRule="exact"/>
        <w:rPr>
          <w:sz w:val="20"/>
          <w:szCs w:val="20"/>
          <w:color w:val="auto"/>
        </w:rPr>
      </w:pPr>
    </w:p>
    <w:p>
      <w:pPr>
        <w:ind w:right="20" w:firstLine="614"/>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considered necessary for a fair statement of financial results have been made. Such adjustments consist of only those of a normal recurring nature. Operating results for the three and six months ended December 29, 2024 are not necessarily indicative of the results that may be expected for the entire fiscal year ending June 29, 2025. The condensed consolidated financial statements include the results of all wholly owned subsidiaries, as well as the results of a majority owned joint venture.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121" w:lineRule="exact"/>
        <w:rPr>
          <w:sz w:val="20"/>
          <w:szCs w:val="20"/>
          <w:color w:val="auto"/>
        </w:rPr>
      </w:pPr>
    </w:p>
    <w:p>
      <w:pPr>
        <w:ind w:right="60" w:firstLine="562"/>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is intended to improve reportable segment disclosure requirements, primarily through enhanced disclosures about significant segment expenses including segment expenses that are regularly provided to the chief operating decision maker. For the Company, the annual disclosure requirements of this ASU are effective for fiscal years beginning after December 15, 2023 (fiscal 2025), while the interim reporting requirements are applicable in fiscal 2026. The amendments within this ASU are required to be applied retrospectively to all prior periods presented in the financial statements. The Company is currently evaluating the impact the adoption of this standard will have on its consolidated financial statements.</w:t>
      </w:r>
    </w:p>
    <w:p>
      <w:pPr>
        <w:spacing w:after="0" w:line="187"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This ASU is intended to enhance the transparency and decision usefulness of income tax disclosures to provide information to better assess how an entity's operations and related tax risks and tax planning and operational opportunities affect its tax rate and prospects for future cash flows. For the Company, this ASU is effective for annual periods beginning after December 15, 2024 (fiscal 2026). The Company is currently evaluating the impact the adoption of this standard will have on its consolidated financial statements.</w:t>
      </w:r>
    </w:p>
    <w:p>
      <w:pPr>
        <w:spacing w:after="0" w:line="183" w:lineRule="exact"/>
        <w:rPr>
          <w:sz w:val="20"/>
          <w:szCs w:val="20"/>
          <w:color w:val="auto"/>
        </w:rPr>
      </w:pPr>
    </w:p>
    <w:p>
      <w:pPr>
        <w:ind w:firstLine="651"/>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(fiscal 2028) and for interim periods beginning after December 15, 2027 (fiscal 2029). The Company is currently evaluating the impact the adoption of this standard will have on its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21" w:lineRule="exact"/>
        <w:rPr>
          <w:sz w:val="20"/>
          <w:szCs w:val="20"/>
          <w:color w:val="auto"/>
        </w:rPr>
      </w:pPr>
    </w:p>
    <w:p>
      <w:pPr>
        <w:jc w:val="both"/>
        <w:ind w:right="220" w:firstLine="562"/>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production of products sold to OEMs, or Tier 1 suppliers at the direction of the OEM, under long-term supply agreements supporting new vehicle production. Such agreements also require related production of service parts subsequent to the initial vehicle production periods. Additionally, the Company generates revenue from the production of products sold in aftermarket service channels.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ind w:left="560"/>
        <w:spacing w:after="0"/>
        <w:rPr>
          <w:sz w:val="20"/>
          <w:szCs w:val="20"/>
          <w:color w:val="auto"/>
        </w:rPr>
      </w:pPr>
      <w:r>
        <w:rPr>
          <w:rFonts w:ascii="Times New Roman" w:cs="Times New Roman" w:eastAsia="Times New Roman" w:hAnsi="Times New Roman"/>
          <w:sz w:val="18"/>
          <w:szCs w:val="18"/>
          <w:color w:val="auto"/>
        </w:rPr>
        <w:t>Revenue by product category and by customer are as follows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3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r>
      <w:tr>
        <w:trPr>
          <w:trHeight w:val="173"/>
        </w:trPr>
        <w:tc>
          <w:tcPr>
            <w:tcW w:w="3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Door handles &amp; exterior trim</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33,084</w:t>
            </w:r>
          </w:p>
        </w:tc>
        <w:tc>
          <w:tcPr>
            <w:tcW w:w="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68,514</w:t>
            </w:r>
          </w:p>
        </w:tc>
        <w:tc>
          <w:tcPr>
            <w:tcW w:w="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62,923</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Power access solutions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Keys &amp; locksets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54,912</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Latches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User interface controls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Aftermarket &amp; OE service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3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129,919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118,532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268,971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253,938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3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gridSpan w:val="2"/>
          </w:tcPr>
          <w:p>
            <w:pPr>
              <w:spacing w:after="0"/>
              <w:rPr>
                <w:sz w:val="10"/>
                <w:szCs w:val="10"/>
                <w:color w:val="auto"/>
              </w:rPr>
            </w:pPr>
          </w:p>
        </w:tc>
      </w:tr>
      <w:tr>
        <w:trPr>
          <w:trHeight w:val="173"/>
        </w:trPr>
        <w:tc>
          <w:tcPr>
            <w:tcW w:w="3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36,517</w:t>
            </w:r>
          </w:p>
        </w:tc>
        <w:tc>
          <w:tcPr>
            <w:tcW w:w="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81,710</w:t>
            </w:r>
          </w:p>
        </w:tc>
        <w:tc>
          <w:tcPr>
            <w:tcW w:w="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77,022</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40,497</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Hyundai Motor Group (including Kia)</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36,178</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All Other Customers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0"/>
        </w:trPr>
        <w:tc>
          <w:tcPr>
            <w:tcW w:w="3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129,919</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118,532</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268,971</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253,938</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-1602105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-1602105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-1602105</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-1602105</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PRE-PRODUCTION COSTS</w:t>
      </w:r>
    </w:p>
    <w:p>
      <w:pPr>
        <w:spacing w:after="0" w:line="121"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The Company incurs customer-owned tooling and engineering development pre-production costs. Pre-production costs for which reimbursement is contractually guaranteed by the customer are accumulated on the balance sheet and are then billed upon formal acceptance by the customer of products produced with the individual tools or upon customer approval of the completed engineering development. To the extent that the costs exceed expected reimbursement from the customer, expense is recognized. Costs for tooling that the Company owns are capitalized and depreciated over the estimated useful lives of the tools.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VALUE-ADDED TAX</w:t>
      </w:r>
    </w:p>
    <w:p>
      <w:pPr>
        <w:spacing w:after="0" w:line="121" w:lineRule="exact"/>
        <w:rPr>
          <w:sz w:val="20"/>
          <w:szCs w:val="20"/>
          <w:color w:val="auto"/>
        </w:rPr>
      </w:pPr>
    </w:p>
    <w:p>
      <w:pPr>
        <w:ind w:right="200" w:firstLine="569"/>
        <w:spacing w:after="0" w:line="258" w:lineRule="auto"/>
        <w:rPr>
          <w:sz w:val="20"/>
          <w:szCs w:val="20"/>
          <w:color w:val="auto"/>
        </w:rPr>
      </w:pPr>
      <w:r>
        <w:rPr>
          <w:rFonts w:ascii="Times New Roman" w:cs="Times New Roman" w:eastAsia="Times New Roman" w:hAnsi="Times New Roman"/>
          <w:sz w:val="18"/>
          <w:szCs w:val="18"/>
          <w:color w:val="auto"/>
        </w:rPr>
        <w:t>The Company's Mexican subsidiaries are subject to value-added tax (“VAT”). VAT is paid on goods and services and collected on sales. A VAT certification generally allows for relief from VAT tax for temporarily imported goods. A temporary suspension of our VAT tax certification during the second quarter of fiscal 2024 has resulted in an elevated value-added tax recoverable, as VAT was required to be paid on all components temporarily imported into Mexico for periods in which the certification was suspended. Such periods are now subject to an audit by the Mexican tax authority before VAT refunds will be received.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The Company owns and operates manufacturing operations in Mexico. As a result, a portion of manufacturing costs are incurred in Mexican pesos, which causes earnings and cash flows to fluctuate due to changes in the U.S. dollar/Mexican peso exchange rate. During both fiscal 2025 and 2024, the Company entered into contracts with Bank of Montreal that provide for monthly Mexican peso currency forward contracts for a portion of peso denominated operating costs. The objective in entering into currency forward contracts is to minimize earnings volatility resulting from changes in foreign currency exchange rates. The Mexican peso forward contracts are not designated as hedges. As a result, all currency forward contracts are recognized in the accompanying condensed consolidated financial statements at fair value and changes in the fair value are reported in earnings as part of Other (Expense) Income, net.</w:t>
      </w:r>
    </w:p>
    <w:p>
      <w:pPr>
        <w:spacing w:after="0" w:line="189"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The following table quantifies the outstanding forward contracts as of December 29, 2024 (in thousands, except with respect to the average forward contractual exchange rate):</w:t>
      </w:r>
    </w:p>
    <w:tbl>
      <w:tblPr>
        <w:tblLayout w:type="fixed"/>
        <w:tblInd w:w="580" w:type="dxa"/>
        <w:tblCellMar>
          <w:top w:w="0" w:type="dxa"/>
          <w:left w:w="0" w:type="dxa"/>
          <w:bottom w:w="0" w:type="dxa"/>
          <w:right w:w="0" w:type="dxa"/>
        </w:tblCellMar>
      </w:tblPr>
      <w:tr>
        <w:trPr>
          <w:trHeight w:val="194"/>
        </w:trPr>
        <w:tc>
          <w:tcPr>
            <w:tcW w:w="23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Average Forward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2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 Market</w:t>
            </w:r>
          </w:p>
        </w:tc>
      </w:tr>
      <w:tr>
        <w:trPr>
          <w:trHeight w:val="238"/>
        </w:trPr>
        <w:tc>
          <w:tcPr>
            <w:tcW w:w="2340" w:type="dxa"/>
            <w:vAlign w:val="bottom"/>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Effective Dates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r>
      <w:tr>
        <w:trPr>
          <w:trHeight w:val="21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Buy MXP/Sell USD</w:t>
            </w: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13, 2025 − August 18, 2025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(936 )</w:t>
            </w: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 w:name="page8"/>
    <w:bookmarkEnd w:id="7"/>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121"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The Company assesses the inputs used to measure the fair value of financial assets and liabilities using a three-tier hierarchy. Level 1 inputs include unadjusted quoted prices for identical instruments and are the most observable. Level 2 inputs include quoted prices for similar assets and observable inputs such as interest rates, foreign currency exchange rates, commodity rates and yield curves. Level 3 inputs are not observable in the market and include management’s own judgments about the assumptions market participants would use in pricing an asset or liability.</w:t>
      </w:r>
    </w:p>
    <w:p>
      <w:pPr>
        <w:spacing w:after="0" w:line="180" w:lineRule="exact"/>
        <w:rPr>
          <w:sz w:val="20"/>
          <w:szCs w:val="20"/>
          <w:color w:val="auto"/>
        </w:rPr>
      </w:pPr>
    </w:p>
    <w:p>
      <w:pPr>
        <w:ind w:right="60" w:firstLine="614"/>
        <w:spacing w:after="0" w:line="258" w:lineRule="auto"/>
        <w:rPr>
          <w:sz w:val="20"/>
          <w:szCs w:val="20"/>
          <w:color w:val="auto"/>
        </w:rPr>
      </w:pPr>
      <w:r>
        <w:rPr>
          <w:rFonts w:ascii="Times New Roman" w:cs="Times New Roman" w:eastAsia="Times New Roman" w:hAnsi="Times New Roman"/>
          <w:sz w:val="18"/>
          <w:szCs w:val="18"/>
          <w:color w:val="auto"/>
        </w:rPr>
        <w:t>The fair value of the Company’s cash and cash equivalents, accounts receivable, financial assets held in a Rabbi Trust, accounts payable and variable rate borrowings under the credit agreements approximated book value at both December 29, 2024 and June 30, 2024 due to their short-term nature and the fact that the interest rates approximated market rates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fair value of all Mexican peso forward contracts were based on quoted inactive market prices and therefore classified as Level 2 within the valuation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December 29, 2024 and June 30, 2024 (in thousands):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3"/>
                <w:szCs w:val="13"/>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39,927</w:t>
            </w:r>
          </w:p>
        </w:tc>
        <w:tc>
          <w:tcPr>
            <w:tcW w:w="100" w:type="dxa"/>
            <w:vAlign w:val="bottom"/>
          </w:tcPr>
          <w:p>
            <w:pPr>
              <w:spacing w:after="0"/>
              <w:rPr>
                <w:sz w:val="18"/>
                <w:szCs w:val="18"/>
                <w:color w:val="auto"/>
              </w:rPr>
            </w:pPr>
          </w:p>
        </w:tc>
      </w:tr>
      <w:tr>
        <w:trPr>
          <w:trHeight w:val="216"/>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231,992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305,246</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(196,642 )</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(219,062 )</w:t>
            </w:r>
          </w:p>
        </w:tc>
      </w:tr>
      <w:tr>
        <w:trPr>
          <w:trHeight w:val="209"/>
        </w:trPr>
        <w:tc>
          <w:tcPr>
            <w:tcW w:w="68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79,272</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86,184</w:t>
            </w:r>
          </w:p>
        </w:tc>
        <w:tc>
          <w:tcPr>
            <w:tcW w:w="100" w:type="dxa"/>
            <w:vAlign w:val="bottom"/>
            <w:tcBorders>
              <w:top w:val="single" w:sz="8" w:color="CFF0FC"/>
            </w:tcBorders>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-453390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CREDIT FACILITIES</w:t>
      </w:r>
    </w:p>
    <w:p>
      <w:pPr>
        <w:spacing w:after="0" w:line="121"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The Company has a $40 million secured revolving credit facility (the “STRATTEC Credit Facility”) with BMO Harris Bank N.A., while the joint venture has a $20 million secured revolving credit facility (the “ADAC-STRATTEC Credit Facility”) with BMO Harris Bank N.A., which is guaranteed by the Company. The credit facilities both expire August 1, 2026. Borrowings under both credit facilities are secured by U.S. cash balances, accounts receivable, inventory, and fixed assets located in the U.S. Interest on borrowings under the STRATTEC Credit Facility were at varying rates based, at our option, on the bank's prime rate or SOFR plus 1.35% prior to September 5, 2023 and SOFR plus 1.85% subsequent to September 5, 2023. Interest on borrowings under the ADAC-STRATTEC Credit Facility were at varying rates based, at our option, on the bank's prime rate with no interest rate margin through May 30, 2024 and a 2% interest rate margin subsequent to May 30, 2024 or SOFR plus 1.35% prior to May 30, 2024 and SOFR plus 3.10% subsequent to May 30, 2024. Both credit facilities contain a restrictive financial covenant that requires the applicable borrower to maintain a minimum net worth level. The ADAC-STRATTEC Credit Facility includes an additional restrictive financial covenant that requires the maintenance of a minimum fixed charge coverage ratio. As of December 29, 2024, the Company was in compliance with all financial covenants.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Outstanding borrowings under the credit facilities were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STRATTEC 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ADAC-STRATTEC Credit Facility</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8"/>
                <w:szCs w:val="18"/>
                <w:color w:val="auto"/>
              </w:rPr>
            </w:pPr>
          </w:p>
        </w:tc>
      </w:tr>
      <w:tr>
        <w:trPr>
          <w:trHeight w:val="250"/>
        </w:trPr>
        <w:tc>
          <w:tcPr>
            <w:tcW w:w="60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560"/>
        <w:spacing w:after="0"/>
        <w:rPr>
          <w:sz w:val="20"/>
          <w:szCs w:val="20"/>
          <w:color w:val="auto"/>
        </w:rPr>
      </w:pPr>
      <w:r>
        <w:rPr>
          <w:rFonts w:ascii="Times New Roman" w:cs="Times New Roman" w:eastAsia="Times New Roman" w:hAnsi="Times New Roman"/>
          <w:sz w:val="17"/>
          <w:szCs w:val="17"/>
          <w:color w:val="auto"/>
        </w:rPr>
        <w:t>Average outstanding borrowings and the weighted average interest rate under each credit facility referenced above were as follows (in thousands):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69"/>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Average Outstanding Borrowings</w:t>
            </w:r>
          </w:p>
        </w:tc>
        <w:tc>
          <w:tcPr>
            <w:tcW w:w="200" w:type="dxa"/>
            <w:vAlign w:val="bottom"/>
          </w:tcPr>
          <w:p>
            <w:pPr>
              <w:spacing w:after="0"/>
              <w:rPr>
                <w:sz w:val="14"/>
                <w:szCs w:val="14"/>
                <w:color w:val="auto"/>
              </w:rPr>
            </w:pPr>
          </w:p>
        </w:tc>
        <w:tc>
          <w:tcPr>
            <w:tcW w:w="34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Weighted Average Interest Rate</w:t>
            </w:r>
          </w:p>
        </w:tc>
      </w:tr>
      <w:tr>
        <w:trPr>
          <w:trHeight w:val="117"/>
        </w:trPr>
        <w:tc>
          <w:tcPr>
            <w:tcW w:w="3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42"/>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4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76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520" w:type="dxa"/>
            <w:vAlign w:val="bottom"/>
            <w:tcBorders>
              <w:top w:val="single" w:sz="8" w:color="auto"/>
            </w:tcBorders>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r>
      <w:tr>
        <w:trPr>
          <w:trHeight w:val="173"/>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46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5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1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STRATTEC Credit Facility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ADAC-STRATTEC Credit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8.2 %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21" w:lineRule="exact"/>
        <w:rPr>
          <w:sz w:val="20"/>
          <w:szCs w:val="20"/>
          <w:color w:val="auto"/>
        </w:rPr>
      </w:pPr>
    </w:p>
    <w:p>
      <w:pPr>
        <w:ind w:right="180" w:firstLine="562"/>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various legal actions and claims incidental to our business, including those arising out of alleged defects, alleged breaches of contracts, product warranties, intellectual property matters and employment related matters. The Company believes that the outcome of such matters will not have a material adverse impact on the consolidated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SHAREHOLDERS' EQUITY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activity impacting shareholders’ equity follows (in thousands):</w:t>
      </w:r>
    </w:p>
    <w:p>
      <w:pPr>
        <w:spacing w:after="0" w:line="1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b w:val="1"/>
          <w:bCs w:val="1"/>
          <w:color w:val="auto"/>
        </w:rPr>
        <w:t>Three and Six Months Ended December 29, 2024</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18"/>
        </w:trPr>
        <w:tc>
          <w:tcPr>
            <w:tcW w:w="24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Excess of Par</w:t>
            </w:r>
          </w:p>
        </w:tc>
        <w:tc>
          <w:tcPr>
            <w:tcW w:w="120" w:type="dxa"/>
            <w:vAlign w:val="bottom"/>
          </w:tcPr>
          <w:p>
            <w:pPr>
              <w:spacing w:after="0"/>
              <w:rPr>
                <w:sz w:val="11"/>
                <w:szCs w:val="11"/>
                <w:color w:val="auto"/>
              </w:rPr>
            </w:pPr>
          </w:p>
        </w:tc>
        <w:tc>
          <w:tcPr>
            <w:tcW w:w="800" w:type="dxa"/>
            <w:vAlign w:val="bottom"/>
          </w:tcPr>
          <w:p>
            <w:pPr>
              <w:jc w:val="right"/>
              <w:ind w:right="162"/>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1"/>
                <w:szCs w:val="11"/>
                <w:color w:val="auto"/>
              </w:rPr>
            </w:pPr>
          </w:p>
        </w:tc>
        <w:tc>
          <w:tcPr>
            <w:tcW w:w="10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0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3"/>
                <w:szCs w:val="13"/>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Treasury Stock</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June 30,2024</w:t>
            </w: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101,024</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(15,689 )</w:t>
            </w:r>
          </w:p>
        </w:tc>
        <w:tc>
          <w:tcPr>
            <w:tcW w:w="22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(135,478 )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Translation adjustments</w:t>
            </w:r>
          </w:p>
        </w:tc>
        <w:tc>
          <w:tcPr>
            <w:tcW w:w="42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(1,671 )</w:t>
            </w:r>
          </w:p>
        </w:tc>
        <w:tc>
          <w:tcPr>
            <w:tcW w:w="2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(1,089 )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(2,760 )</w:t>
            </w:r>
          </w:p>
        </w:tc>
        <w:tc>
          <w:tcPr>
            <w:tcW w:w="0" w:type="dxa"/>
            <w:vAlign w:val="bottom"/>
          </w:tcPr>
          <w:p>
            <w:pPr>
              <w:spacing w:after="0"/>
              <w:rPr>
                <w:sz w:val="1"/>
                <w:szCs w:val="1"/>
                <w:color w:val="auto"/>
              </w:rPr>
            </w:pPr>
          </w:p>
        </w:tc>
      </w:tr>
      <w:tr>
        <w:trPr>
          <w:trHeight w:val="20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420" w:type="dxa"/>
            <w:vAlign w:val="bottom"/>
            <w:shd w:val="clear" w:color="auto" w:fill="CFF0FC"/>
          </w:tcPr>
          <w:p>
            <w:pPr>
              <w:spacing w:after="0"/>
              <w:rPr>
                <w:sz w:val="16"/>
                <w:szCs w:val="16"/>
                <w:color w:val="auto"/>
              </w:rPr>
            </w:pPr>
          </w:p>
        </w:tc>
        <w:tc>
          <w:tcPr>
            <w:tcW w:w="52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adjustment, net of tax</w:t>
            </w:r>
          </w:p>
        </w:tc>
        <w:tc>
          <w:tcPr>
            <w:tcW w:w="42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4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purchases</w:t>
            </w:r>
          </w:p>
        </w:tc>
        <w:tc>
          <w:tcPr>
            <w:tcW w:w="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September 29, 2024</w:t>
            </w: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101,218</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254,315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(17,104 )</w:t>
            </w:r>
          </w:p>
        </w:tc>
        <w:tc>
          <w:tcPr>
            <w:tcW w:w="22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(135,471 )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24,026</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Translation adjustments</w:t>
            </w:r>
          </w:p>
        </w:tc>
        <w:tc>
          <w:tcPr>
            <w:tcW w:w="42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(759 )</w:t>
            </w:r>
          </w:p>
        </w:tc>
        <w:tc>
          <w:tcPr>
            <w:tcW w:w="2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(486 )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(1,245 )</w:t>
            </w:r>
          </w:p>
        </w:tc>
        <w:tc>
          <w:tcPr>
            <w:tcW w:w="0" w:type="dxa"/>
            <w:vAlign w:val="bottom"/>
          </w:tcPr>
          <w:p>
            <w:pPr>
              <w:spacing w:after="0"/>
              <w:rPr>
                <w:sz w:val="1"/>
                <w:szCs w:val="1"/>
                <w:color w:val="auto"/>
              </w:rPr>
            </w:pPr>
          </w:p>
        </w:tc>
      </w:tr>
      <w:tr>
        <w:trPr>
          <w:trHeight w:val="202"/>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420" w:type="dxa"/>
            <w:vAlign w:val="bottom"/>
            <w:shd w:val="clear" w:color="auto" w:fill="CFF0FC"/>
          </w:tcPr>
          <w:p>
            <w:pPr>
              <w:spacing w:after="0"/>
              <w:rPr>
                <w:sz w:val="16"/>
                <w:szCs w:val="16"/>
                <w:color w:val="auto"/>
              </w:rPr>
            </w:pPr>
          </w:p>
        </w:tc>
        <w:tc>
          <w:tcPr>
            <w:tcW w:w="52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adjustment, net of tax</w:t>
            </w:r>
          </w:p>
        </w:tc>
        <w:tc>
          <w:tcPr>
            <w:tcW w:w="42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purchases</w:t>
            </w:r>
          </w:p>
        </w:tc>
        <w:tc>
          <w:tcPr>
            <w:tcW w:w="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December 29, 2024</w:t>
            </w: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102,118</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255,634</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(17,827 )</w:t>
            </w:r>
          </w:p>
        </w:tc>
        <w:tc>
          <w:tcPr>
            <w:tcW w:w="22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(135,465 )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23,619</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228,155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Three and Six Months Ended December 31, 2023</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4"/>
              </w:rPr>
              <w:t>Capital in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0"/>
                <w:szCs w:val="10"/>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Excess of Par</w:t>
            </w:r>
          </w:p>
        </w:tc>
        <w:tc>
          <w:tcPr>
            <w:tcW w:w="120" w:type="dxa"/>
            <w:vAlign w:val="bottom"/>
          </w:tcPr>
          <w:p>
            <w:pPr>
              <w:spacing w:after="0"/>
              <w:rPr>
                <w:sz w:val="11"/>
                <w:szCs w:val="11"/>
                <w:color w:val="auto"/>
              </w:rPr>
            </w:pPr>
          </w:p>
        </w:tc>
        <w:tc>
          <w:tcPr>
            <w:tcW w:w="800" w:type="dxa"/>
            <w:vAlign w:val="bottom"/>
          </w:tcPr>
          <w:p>
            <w:pPr>
              <w:jc w:val="right"/>
              <w:ind w:right="2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80" w:type="dxa"/>
            <w:vAlign w:val="bottom"/>
          </w:tcPr>
          <w:p>
            <w:pPr>
              <w:spacing w:after="0"/>
              <w:rPr>
                <w:sz w:val="11"/>
                <w:szCs w:val="11"/>
                <w:color w:val="auto"/>
              </w:rPr>
            </w:pPr>
          </w:p>
        </w:tc>
        <w:tc>
          <w:tcPr>
            <w:tcW w:w="104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40" w:type="dxa"/>
            <w:vAlign w:val="bottom"/>
          </w:tcPr>
          <w:p>
            <w:pPr>
              <w:spacing w:after="0"/>
              <w:rPr>
                <w:sz w:val="13"/>
                <w:szCs w:val="13"/>
                <w:color w:val="auto"/>
              </w:rPr>
            </w:pPr>
          </w:p>
        </w:tc>
        <w:tc>
          <w:tcPr>
            <w:tcW w:w="9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w w:val="98"/>
              </w:rPr>
              <w:t>Treasury Stock</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July 2,2023</w:t>
            </w: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100,309</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righ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234,299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(14,194 )</w:t>
            </w:r>
          </w:p>
        </w:tc>
        <w:tc>
          <w:tcPr>
            <w:tcW w:w="22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(135,526 )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26,061</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Translation adjustments</w:t>
            </w:r>
          </w:p>
        </w:tc>
        <w:tc>
          <w:tcPr>
            <w:tcW w:w="42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(379 )</w:t>
            </w:r>
          </w:p>
        </w:tc>
        <w:tc>
          <w:tcPr>
            <w:tcW w:w="2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(270 )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(649 )</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SPA non-</w:t>
            </w: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controlling interest</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06"/>
        </w:trPr>
        <w:tc>
          <w:tcPr>
            <w:tcW w:w="2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2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505</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 net of tax</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Employee stock purchases</w:t>
            </w:r>
          </w:p>
        </w:tc>
        <w:tc>
          <w:tcPr>
            <w:tcW w:w="4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righ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left w:val="single" w:sz="8" w:color="CFF0FC"/>
              <w:bottom w:val="single" w:sz="8" w:color="auto"/>
            </w:tcBorders>
            <w:shd w:val="clear" w:color="auto" w:fill="CFF0FC"/>
          </w:tcPr>
          <w:p>
            <w:pPr>
              <w:spacing w:after="0"/>
              <w:rPr>
                <w:sz w:val="17"/>
                <w:szCs w:val="17"/>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Balance, October 1, 2023</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100,721</w:t>
            </w:r>
          </w:p>
        </w:tc>
        <w:tc>
          <w:tcPr>
            <w:tcW w:w="180" w:type="dxa"/>
            <w:vAlign w:val="bottom"/>
          </w:tcPr>
          <w:p>
            <w:pPr>
              <w:spacing w:after="0"/>
              <w:rPr>
                <w:sz w:val="17"/>
                <w:szCs w:val="17"/>
                <w:color w:val="auto"/>
              </w:rPr>
            </w:pPr>
          </w:p>
        </w:tc>
        <w:tc>
          <w:tcPr>
            <w:tcW w:w="120" w:type="dxa"/>
            <w:vAlign w:val="bottom"/>
          </w:tcPr>
          <w:p>
            <w:pPr>
              <w:jc w:val="right"/>
              <w:ind w:right="21"/>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238,464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(14,527 )</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(135,514 )</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26,081</w:t>
            </w:r>
          </w:p>
        </w:tc>
        <w:tc>
          <w:tcPr>
            <w:tcW w:w="180" w:type="dxa"/>
            <w:vAlign w:val="bottom"/>
          </w:tcPr>
          <w:p>
            <w:pPr>
              <w:spacing w:after="0"/>
              <w:rPr>
                <w:sz w:val="17"/>
                <w:szCs w:val="17"/>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1,022</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(242 )</w:t>
            </w:r>
          </w:p>
        </w:tc>
        <w:tc>
          <w:tcPr>
            <w:tcW w:w="18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Translation adjustments</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602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2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479</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 net of tax</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purchases</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-2695575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-2678430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-2695575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-2678430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-2695575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-2678430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-2695575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-2678430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-2695575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-2678430</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-2695575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-2678430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-2695575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-2678430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-913130</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-913130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-913130</wp:posOffset>
            </wp:positionV>
            <wp:extent cx="59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-913130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-913130</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-913130</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-913130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-132715</wp:posOffset>
            </wp:positionV>
            <wp:extent cx="641223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34" w:right="479" w:bottom="1440" w:gutter="0" w:footer="0" w:header="0"/>
        </w:sectPr>
      </w:pPr>
    </w:p>
    <w:bookmarkStart w:id="9" w:name="page10"/>
    <w:bookmarkEnd w:id="9"/>
    <w:p>
      <w:pPr>
        <w:ind w:left="580"/>
        <w:spacing w:after="0"/>
        <w:tabs>
          <w:tab w:leader="none" w:pos="3040" w:val="left"/>
          <w:tab w:leader="none" w:pos="3740" w:val="left"/>
          <w:tab w:leader="none" w:pos="4140" w:val="left"/>
          <w:tab w:leader="none" w:pos="4480" w:val="left"/>
          <w:tab w:leader="none" w:pos="5220" w:val="left"/>
          <w:tab w:leader="none" w:pos="5560" w:val="left"/>
          <w:tab w:leader="none" w:pos="6320" w:val="left"/>
          <w:tab w:leader="none" w:pos="6680" w:val="left"/>
          <w:tab w:leader="none" w:pos="7420" w:val="left"/>
          <w:tab w:leader="none" w:pos="7720" w:val="left"/>
          <w:tab w:leader="none" w:pos="8520" w:val="left"/>
          <w:tab w:leader="none" w:pos="8960" w:val="left"/>
          <w:tab w:leader="none" w:pos="9620" w:val="left"/>
          <w:tab w:leader="none" w:pos="10000" w:val="left"/>
        </w:tabs>
        <w:rPr>
          <w:sz w:val="20"/>
          <w:szCs w:val="20"/>
          <w:color w:val="auto"/>
        </w:rPr>
      </w:pPr>
      <w:r>
        <w:rPr>
          <w:rFonts w:ascii="Times New Roman" w:cs="Times New Roman" w:eastAsia="Times New Roman" w:hAnsi="Times New Roman"/>
          <w:sz w:val="32"/>
          <w:szCs w:val="32"/>
          <w:color w:val="auto"/>
          <w:vertAlign w:val="subscript"/>
        </w:rPr>
        <w:t>Balance, December 31, 2023</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76</w:t>
        <w:tab/>
        <w:t>$</w:t>
      </w:r>
      <w:r>
        <w:rPr>
          <w:sz w:val="20"/>
          <w:szCs w:val="20"/>
          <w:color w:val="auto"/>
        </w:rPr>
        <w:tab/>
      </w:r>
      <w:r>
        <w:rPr>
          <w:rFonts w:ascii="Times New Roman" w:cs="Times New Roman" w:eastAsia="Times New Roman" w:hAnsi="Times New Roman"/>
          <w:sz w:val="16"/>
          <w:szCs w:val="16"/>
          <w:color w:val="auto"/>
        </w:rPr>
        <w:t>101,207</w:t>
        <w:tab/>
        <w:t>$</w:t>
      </w:r>
      <w:r>
        <w:rPr>
          <w:sz w:val="20"/>
          <w:szCs w:val="20"/>
          <w:color w:val="auto"/>
        </w:rPr>
        <w:tab/>
      </w:r>
      <w:r>
        <w:rPr>
          <w:rFonts w:ascii="Times New Roman" w:cs="Times New Roman" w:eastAsia="Times New Roman" w:hAnsi="Times New Roman"/>
          <w:sz w:val="16"/>
          <w:szCs w:val="16"/>
          <w:color w:val="auto"/>
        </w:rPr>
        <w:t>239,486</w:t>
        <w:tab/>
        <w:t>$</w:t>
      </w:r>
      <w:r>
        <w:rPr>
          <w:sz w:val="20"/>
          <w:szCs w:val="20"/>
          <w:color w:val="auto"/>
        </w:rPr>
        <w:tab/>
      </w:r>
      <w:r>
        <w:rPr>
          <w:rFonts w:ascii="Times New Roman" w:cs="Times New Roman" w:eastAsia="Times New Roman" w:hAnsi="Times New Roman"/>
          <w:sz w:val="16"/>
          <w:szCs w:val="16"/>
          <w:color w:val="auto"/>
        </w:rPr>
        <w:t>(13,878 )</w:t>
        <w:tab/>
        <w:t>$</w:t>
        <w:tab/>
        <w:t>(135,501 )</w:t>
        <w:tab/>
        <w:t>$</w:t>
      </w:r>
      <w:r>
        <w:rPr>
          <w:sz w:val="20"/>
          <w:szCs w:val="20"/>
          <w:color w:val="auto"/>
        </w:rPr>
        <w:tab/>
      </w:r>
      <w:r>
        <w:rPr>
          <w:rFonts w:ascii="Times New Roman" w:cs="Times New Roman" w:eastAsia="Times New Roman" w:hAnsi="Times New Roman"/>
          <w:sz w:val="16"/>
          <w:szCs w:val="16"/>
          <w:color w:val="auto"/>
        </w:rPr>
        <w:t>26,251</w:t>
        <w:tab/>
        <w:t>$</w:t>
      </w:r>
      <w:r>
        <w:rPr>
          <w:sz w:val="20"/>
          <w:szCs w:val="20"/>
          <w:color w:val="auto"/>
        </w:rPr>
        <w:tab/>
      </w:r>
      <w:r>
        <w:rPr>
          <w:rFonts w:ascii="Times New Roman" w:cs="Times New Roman" w:eastAsia="Times New Roman" w:hAnsi="Times New Roman"/>
          <w:sz w:val="16"/>
          <w:szCs w:val="16"/>
          <w:color w:val="auto"/>
        </w:rPr>
        <w:t>217,641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-121285</wp:posOffset>
            </wp:positionV>
            <wp:extent cx="477456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74565" cy="16319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(EXPENSE) INCOME, NET</w:t>
      </w:r>
    </w:p>
    <w:p>
      <w:pPr>
        <w:spacing w:after="0" w:line="121" w:lineRule="exact"/>
        <w:rPr>
          <w:sz w:val="20"/>
          <w:szCs w:val="20"/>
          <w:color w:val="auto"/>
        </w:rPr>
      </w:pPr>
    </w:p>
    <w:p>
      <w:pPr>
        <w:ind w:right="340" w:firstLine="562"/>
        <w:spacing w:after="0" w:line="282" w:lineRule="auto"/>
        <w:rPr>
          <w:sz w:val="20"/>
          <w:szCs w:val="20"/>
          <w:color w:val="auto"/>
        </w:rPr>
      </w:pPr>
      <w:r>
        <w:rPr>
          <w:rFonts w:ascii="Times New Roman" w:cs="Times New Roman" w:eastAsia="Times New Roman" w:hAnsi="Times New Roman"/>
          <w:sz w:val="18"/>
          <w:szCs w:val="18"/>
          <w:color w:val="auto"/>
        </w:rPr>
        <w:t>Other (expense) income, net included in the accompanying Condensed Consolidated Statements of Income and Comprehensive Income was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8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r>
      <w:tr>
        <w:trPr>
          <w:trHeight w:val="173"/>
        </w:trPr>
        <w:tc>
          <w:tcPr>
            <w:tcW w:w="4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shd w:val="clear" w:color="auto" w:fill="CFF0FC"/>
          </w:tcPr>
          <w:p>
            <w:pPr>
              <w:spacing w:after="0"/>
              <w:rPr>
                <w:sz w:val="18"/>
                <w:szCs w:val="18"/>
                <w:color w:val="auto"/>
              </w:rPr>
            </w:pP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(loss) gain on peso</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contracts, net</w:t>
            </w: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(1,304 )</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tcPr>
          <w:p>
            <w:pPr>
              <w:spacing w:after="0"/>
              <w:rPr>
                <w:sz w:val="20"/>
                <w:szCs w:val="20"/>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postretirement plans cost</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(443 )</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Rabbi trust (loss) gain on investments</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(114 )</w:t>
            </w:r>
          </w:p>
        </w:tc>
      </w:tr>
      <w:tr>
        <w:trPr>
          <w:trHeight w:val="20"/>
        </w:trPr>
        <w:tc>
          <w:tcPr>
            <w:tcW w:w="4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10"/>
        </w:trPr>
        <w:tc>
          <w:tcPr>
            <w:tcW w:w="4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-170815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WARRANTY</w:t>
      </w:r>
    </w:p>
    <w:p>
      <w:pPr>
        <w:spacing w:after="0" w:line="121" w:lineRule="exact"/>
        <w:rPr>
          <w:sz w:val="20"/>
          <w:szCs w:val="20"/>
          <w:color w:val="auto"/>
        </w:rPr>
      </w:pPr>
    </w:p>
    <w:p>
      <w:pPr>
        <w:ind w:right="100" w:firstLine="569"/>
        <w:spacing w:after="0" w:line="261" w:lineRule="auto"/>
        <w:rPr>
          <w:sz w:val="20"/>
          <w:szCs w:val="20"/>
          <w:color w:val="auto"/>
        </w:rPr>
      </w:pPr>
      <w:r>
        <w:rPr>
          <w:rFonts w:ascii="Times New Roman" w:cs="Times New Roman" w:eastAsia="Times New Roman" w:hAnsi="Times New Roman"/>
          <w:sz w:val="18"/>
          <w:szCs w:val="18"/>
          <w:color w:val="auto"/>
        </w:rPr>
        <w:t>The Company has a warranty reserve related to known and potential exposure to warranty claims in the event products fail to perform as expected and in the event the Company may be required to participate in the repair costs incurred by customers for such products. The estimation of the warranty reserve involves judgment and estimates and is based on an analysis of historical warranty data as well as current trends and information. Changes in the warranty reserve were as follows (in thousands):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8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r>
      <w:tr>
        <w:trPr>
          <w:trHeight w:val="173"/>
        </w:trPr>
        <w:tc>
          <w:tcPr>
            <w:tcW w:w="4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200" w:type="dxa"/>
            <w:vAlign w:val="bottom"/>
            <w:shd w:val="clear" w:color="auto" w:fill="CFF0FC"/>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r>
      <w:tr>
        <w:trPr>
          <w:trHeight w:val="216"/>
        </w:trPr>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(334 )</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(567 )</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(718 )</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(689 )</w:t>
            </w:r>
          </w:p>
        </w:tc>
      </w:tr>
      <w:tr>
        <w:trPr>
          <w:trHeight w:val="210"/>
        </w:trPr>
        <w:tc>
          <w:tcPr>
            <w:tcW w:w="4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200" w:type="dxa"/>
            <w:vAlign w:val="bottom"/>
            <w:tcBorders>
              <w:top w:val="single" w:sz="8" w:color="CFF0FC"/>
            </w:tcBorders>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-170815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ind w:right="220" w:firstLine="569"/>
        <w:spacing w:after="0" w:line="282" w:lineRule="auto"/>
        <w:rPr>
          <w:sz w:val="20"/>
          <w:szCs w:val="20"/>
          <w:color w:val="auto"/>
        </w:rPr>
      </w:pPr>
      <w:r>
        <w:rPr>
          <w:rFonts w:ascii="Times New Roman" w:cs="Times New Roman" w:eastAsia="Times New Roman" w:hAnsi="Times New Roman"/>
          <w:sz w:val="18"/>
          <w:szCs w:val="18"/>
          <w:color w:val="auto"/>
        </w:rPr>
        <w:t>The Company's income tax expense and effective tax rate for the three and six month periods ended December 29, 2024 and December 31, 2023 were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66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r>
      <w:tr>
        <w:trPr>
          <w:trHeight w:val="173"/>
        </w:trPr>
        <w:tc>
          <w:tcPr>
            <w:tcW w:w="4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191"/>
        </w:trPr>
        <w:tc>
          <w:tcPr>
            <w:tcW w:w="44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before provision for income taxes and</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00" w:type="dxa"/>
            <w:vAlign w:val="bottom"/>
            <w:shd w:val="clear" w:color="auto" w:fill="CFF0FC"/>
          </w:tcPr>
          <w:p>
            <w:pPr>
              <w:spacing w:after="0"/>
              <w:rPr>
                <w:sz w:val="20"/>
                <w:szCs w:val="20"/>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22.5 %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24.0 %</w:t>
            </w:r>
          </w:p>
        </w:tc>
      </w:tr>
    </w:tbl>
    <w:p>
      <w:pPr>
        <w:spacing w:after="0" w:line="198"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primarily Mexico. The Company's income tax positions are based on interpretations of income tax laws and rulings in each of the jurisdictions that the Company operates. Interim income tax expense is determined based on an estimate of the overall annual effective income tax rate which can vary due to the relationship of foreign and domestic earnings, state taxes and available deductions, credits and discrete items.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reconciliation of the components of the basic and diluted per-share computations follows (in thousands, except per share amounts):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STRATTEC</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SECURITY CORPORATION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dilutive securities - employee stock</w:t>
            </w: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plan</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-448310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-431165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-448310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-431165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-448310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-431165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-448310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-431165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ind w:right="200" w:firstLine="562"/>
        <w:spacing w:after="0" w:line="266" w:lineRule="auto"/>
        <w:rPr>
          <w:sz w:val="20"/>
          <w:szCs w:val="20"/>
          <w:color w:val="auto"/>
        </w:rPr>
      </w:pPr>
      <w:r>
        <w:rPr>
          <w:rFonts w:ascii="Times New Roman" w:cs="Times New Roman" w:eastAsia="Times New Roman" w:hAnsi="Times New Roman"/>
          <w:sz w:val="18"/>
          <w:szCs w:val="18"/>
          <w:color w:val="auto"/>
        </w:rPr>
        <w:t>Shares of common stock related to share-based compensation that were excluded from the effect of dilutive securities because the effect would have been anti-dilutive include 5,191 and 49,595 shares for the three months ended December 29, 2024 and December 31, 2023, respectively, and 2,596 and 55,783 shares for the six months ended December 29, 2024 and December 31,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w:t>
      </w:r>
    </w:p>
    <w:p>
      <w:pPr>
        <w:spacing w:after="0" w:line="121"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The Company owns 51% of a joint venture with ADAC Automotive (“ADAC”), which was formed in fiscal year 2007 to support customers with door handle and exterior trim demand from injection molding and assembly operations in Mexico. The joint venture's financial results are consolidated with the financial results of the Company. The following tables summarize the related party transactions that arise as a result of the joint venture operating agreement (in thousands):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73"/>
        </w:trPr>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FF0FC"/>
          </w:tcPr>
          <w:p>
            <w:pPr>
              <w:spacing w:after="0"/>
              <w:rPr>
                <w:sz w:val="18"/>
                <w:szCs w:val="18"/>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ADAC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Pr>
          <w:p>
            <w:pPr>
              <w:spacing w:after="0"/>
              <w:rPr>
                <w:sz w:val="20"/>
                <w:szCs w:val="20"/>
                <w:color w:val="auto"/>
              </w:rPr>
            </w:pPr>
          </w:p>
        </w:tc>
      </w:tr>
      <w:tr>
        <w:trPr>
          <w:trHeight w:val="373"/>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Borders>
              <w:bottom w:val="single" w:sz="8" w:color="auto"/>
            </w:tcBorders>
            <w:gridSpan w:val="4"/>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24"/>
                <w:szCs w:val="24"/>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from ADAC</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FF0FC"/>
          </w:tcPr>
          <w:p>
            <w:pPr>
              <w:spacing w:after="0"/>
              <w:rPr>
                <w:sz w:val="18"/>
                <w:szCs w:val="18"/>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ADAC</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26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STOCK-BASED COMPENSATION</w:t>
      </w:r>
    </w:p>
    <w:p>
      <w:pPr>
        <w:spacing w:after="0" w:line="121"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The Company has granted service-based restricted stock awards (“RSAs”) and performance stock units (“PSUs”) to employees and non-employee directors under the STRATTEC SECURITY CORPORATION 2024 Equity Incentive Plan (“2024 Equity Incentive Plan”). Prior to October 2024, stock options and RSAs were granted under the Amended and Restated STRATTEC SECURITY CORPORATION Stock Incentive Plan (“Stock Incentive Plan”). Awards that expire or are canceled without delivery of shares become available for re-issuance under the 2024 Equity Incentive Plan. No additional grants will be made under the Stock Incentive Plan.</w:t>
      </w:r>
    </w:p>
    <w:p>
      <w:pPr>
        <w:spacing w:after="0" w:line="183" w:lineRule="exact"/>
        <w:rPr>
          <w:sz w:val="20"/>
          <w:szCs w:val="20"/>
          <w:color w:val="auto"/>
        </w:rPr>
      </w:pPr>
    </w:p>
    <w:p>
      <w:pPr>
        <w:ind w:right="320" w:firstLine="562"/>
        <w:spacing w:after="0" w:line="259" w:lineRule="auto"/>
        <w:rPr>
          <w:sz w:val="20"/>
          <w:szCs w:val="20"/>
          <w:color w:val="auto"/>
        </w:rPr>
      </w:pPr>
      <w:r>
        <w:rPr>
          <w:rFonts w:ascii="Times New Roman" w:cs="Times New Roman" w:eastAsia="Times New Roman" w:hAnsi="Times New Roman"/>
          <w:sz w:val="18"/>
          <w:szCs w:val="18"/>
          <w:color w:val="auto"/>
        </w:rPr>
        <w:t>The number of shares of the Company's common stock authorized under the 2024 Equity Incentive Plan is 550,000. As of December 29, 2024, there were 454,376 shares available for future awards. No stock options were outstanding as of December 29, 2024.</w:t>
      </w: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6"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260" w:firstLine="562"/>
        <w:spacing w:after="0" w:line="266" w:lineRule="auto"/>
        <w:rPr>
          <w:sz w:val="20"/>
          <w:szCs w:val="20"/>
          <w:color w:val="auto"/>
        </w:rPr>
      </w:pPr>
      <w:r>
        <w:rPr>
          <w:rFonts w:ascii="Times New Roman" w:cs="Times New Roman" w:eastAsia="Times New Roman" w:hAnsi="Times New Roman"/>
          <w:sz w:val="18"/>
          <w:szCs w:val="18"/>
          <w:color w:val="auto"/>
        </w:rPr>
        <w:t>Shares of restricted stock granted under approved plans have voting rights, earn dividends and vest over a pre-determined period of time, up to three years from the date of grant. The fair value of restricted stock awards are based on the closing stock price on the date of grant. A summary of RSA activity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64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June 30, 2024</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3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(48,963 )</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(10,275 )</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December 29, 2024</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133,633</w:t>
            </w:r>
          </w:p>
        </w:tc>
        <w:tc>
          <w:tcPr>
            <w:tcW w:w="3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-25400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40" w:firstLine="562"/>
        <w:spacing w:after="0" w:line="282" w:lineRule="auto"/>
        <w:rPr>
          <w:sz w:val="20"/>
          <w:szCs w:val="20"/>
          <w:color w:val="auto"/>
        </w:rPr>
      </w:pPr>
      <w:r>
        <w:rPr>
          <w:rFonts w:ascii="Times New Roman" w:cs="Times New Roman" w:eastAsia="Times New Roman" w:hAnsi="Times New Roman"/>
          <w:sz w:val="18"/>
          <w:szCs w:val="18"/>
          <w:color w:val="auto"/>
        </w:rPr>
        <w:t>As of December 29, 2024, there was $3.8 million of unrecognized compensation cost related to unvested restricted stock awards, which will be expensed over the remaining vesting period of approximately 1.1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As of December 29, 2024, 16,878 PSUs were outstanding which may be earned based on the achievement of certain financial metrics over the three year period ending June 27, 2027. The PSUs will vest ranging from 0% (for performance below threshold) to 200% (for performance above target) and continued employment. The fair value of PSUs was based on the closing stock price on the date of grant. The PSUs earn dividend equivalents during the vesting period while compensation expense is recognized over the service period when it is probable that the performance criteria will be met. As of December 29, 2004, there was $616,000 of unrecognized compensation cost related to unvested PSUs, which will be expensed over the remaining vesting period of approximately 1.3 years.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ACCUMULATED OTHER 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loss (“AOCL”)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Three Months Ended December 29, 2024</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420" w:type="dxa"/>
            <w:vAlign w:val="bottom"/>
          </w:tcPr>
          <w:p>
            <w:pPr>
              <w:spacing w:after="0"/>
              <w:rPr>
                <w:sz w:val="12"/>
                <w:szCs w:val="12"/>
                <w:color w:val="auto"/>
              </w:rPr>
            </w:pPr>
          </w:p>
        </w:tc>
        <w:tc>
          <w:tcPr>
            <w:tcW w:w="8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29, 2024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other comprehensive loss before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Unrecognized net loss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(46 )</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loss attributable to non-</w:t>
            </w: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controlling interest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29, 2024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-1285240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-1285240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-1285240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-728345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-728345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-728345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13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420" w:type="dxa"/>
            <w:vAlign w:val="bottom"/>
          </w:tcPr>
          <w:p>
            <w:pPr>
              <w:spacing w:after="0"/>
              <w:rPr>
                <w:sz w:val="12"/>
                <w:szCs w:val="12"/>
                <w:color w:val="auto"/>
              </w:rPr>
            </w:pPr>
          </w:p>
        </w:tc>
        <w:tc>
          <w:tcPr>
            <w:tcW w:w="9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4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October 1, 2023</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(1,014 )</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(1,014 )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other comprehensive income before reclassifications</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(1,014 )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(1,014 )</w:t>
            </w: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Unrecognized net loss</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16"/>
        </w:trPr>
        <w:tc>
          <w:tcPr>
            <w:tcW w:w="5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(47 )</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(1,014 )</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(47 )</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(1,061 )</w:t>
            </w:r>
          </w:p>
        </w:tc>
        <w:tc>
          <w:tcPr>
            <w:tcW w:w="0" w:type="dxa"/>
            <w:vAlign w:val="bottom"/>
          </w:tcPr>
          <w:p>
            <w:pPr>
              <w:spacing w:after="0"/>
              <w:rPr>
                <w:sz w:val="1"/>
                <w:szCs w:val="1"/>
                <w:color w:val="auto"/>
              </w:rPr>
            </w:pPr>
          </w:p>
        </w:tc>
      </w:tr>
      <w:tr>
        <w:trPr>
          <w:trHeight w:val="198"/>
        </w:trPr>
        <w:tc>
          <w:tcPr>
            <w:tcW w:w="588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income attributable to non-</w:t>
            </w:r>
          </w:p>
        </w:tc>
        <w:tc>
          <w:tcPr>
            <w:tcW w:w="160" w:type="dxa"/>
            <w:vAlign w:val="bottom"/>
            <w:shd w:val="clear" w:color="auto" w:fill="CFF0FC"/>
          </w:tcPr>
          <w:p>
            <w:pPr>
              <w:spacing w:after="0"/>
              <w:rPr>
                <w:sz w:val="17"/>
                <w:szCs w:val="17"/>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(412 )</w:t>
            </w:r>
          </w:p>
        </w:tc>
        <w:tc>
          <w:tcPr>
            <w:tcW w:w="12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(412 )</w:t>
            </w:r>
          </w:p>
        </w:tc>
        <w:tc>
          <w:tcPr>
            <w:tcW w:w="0" w:type="dxa"/>
            <w:vAlign w:val="bottom"/>
          </w:tcPr>
          <w:p>
            <w:pPr>
              <w:spacing w:after="0"/>
              <w:rPr>
                <w:sz w:val="1"/>
                <w:szCs w:val="1"/>
                <w:color w:val="auto"/>
              </w:rPr>
            </w:pPr>
          </w:p>
        </w:tc>
      </w:tr>
      <w:tr>
        <w:trPr>
          <w:trHeight w:val="221"/>
        </w:trPr>
        <w:tc>
          <w:tcPr>
            <w:tcW w:w="58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controlling interest</w:t>
            </w:r>
          </w:p>
        </w:tc>
        <w:tc>
          <w:tcPr>
            <w:tcW w:w="160" w:type="dxa"/>
            <w:vAlign w:val="bottom"/>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Six Months Ended December 29, 2024</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13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420" w:type="dxa"/>
            <w:vAlign w:val="bottom"/>
          </w:tcPr>
          <w:p>
            <w:pPr>
              <w:spacing w:after="0"/>
              <w:rPr>
                <w:sz w:val="12"/>
                <w:szCs w:val="12"/>
                <w:color w:val="auto"/>
              </w:rPr>
            </w:pPr>
          </w:p>
        </w:tc>
        <w:tc>
          <w:tcPr>
            <w:tcW w:w="9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4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other comprehensive loss before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Unrecognized net loss</w:t>
            </w:r>
          </w:p>
        </w:tc>
        <w:tc>
          <w:tcPr>
            <w:tcW w:w="1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(375 )</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(292 )</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(292 )</w:t>
            </w: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loss attributable to non-</w:t>
            </w: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controlling interest</w:t>
            </w: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29, 2024</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5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Six Months Ended December 31, 2023</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13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420" w:type="dxa"/>
            <w:vAlign w:val="bottom"/>
          </w:tcPr>
          <w:p>
            <w:pPr>
              <w:spacing w:after="0"/>
              <w:rPr>
                <w:sz w:val="12"/>
                <w:szCs w:val="12"/>
                <w:color w:val="auto"/>
              </w:rPr>
            </w:pPr>
          </w:p>
        </w:tc>
        <w:tc>
          <w:tcPr>
            <w:tcW w:w="9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4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July 2, 2023</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(365 )</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other comprehensive income before reclassifications</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(365 )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Unrecognized net loss</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(121 )</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16"/>
        </w:trPr>
        <w:tc>
          <w:tcPr>
            <w:tcW w:w="5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(93 )</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(365 )</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(93 )</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(458 )</w:t>
            </w:r>
          </w:p>
        </w:tc>
        <w:tc>
          <w:tcPr>
            <w:tcW w:w="0" w:type="dxa"/>
            <w:vAlign w:val="bottom"/>
          </w:tcPr>
          <w:p>
            <w:pPr>
              <w:spacing w:after="0"/>
              <w:rPr>
                <w:sz w:val="1"/>
                <w:szCs w:val="1"/>
                <w:color w:val="auto"/>
              </w:rPr>
            </w:pPr>
          </w:p>
        </w:tc>
      </w:tr>
      <w:tr>
        <w:trPr>
          <w:trHeight w:val="198"/>
        </w:trPr>
        <w:tc>
          <w:tcPr>
            <w:tcW w:w="588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income attributable to non-</w:t>
            </w:r>
          </w:p>
        </w:tc>
        <w:tc>
          <w:tcPr>
            <w:tcW w:w="160" w:type="dxa"/>
            <w:vAlign w:val="bottom"/>
            <w:shd w:val="clear" w:color="auto" w:fill="CFF0FC"/>
          </w:tcPr>
          <w:p>
            <w:pPr>
              <w:spacing w:after="0"/>
              <w:rPr>
                <w:sz w:val="17"/>
                <w:szCs w:val="17"/>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1"/>
        </w:trPr>
        <w:tc>
          <w:tcPr>
            <w:tcW w:w="58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controlling interest</w:t>
            </w:r>
          </w:p>
        </w:tc>
        <w:tc>
          <w:tcPr>
            <w:tcW w:w="160" w:type="dxa"/>
            <w:vAlign w:val="bottom"/>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-5125720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-5125720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-5125720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-4714240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-4714240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-4714240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-3505200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-3505200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-3505200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-2948305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-2948305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-2948305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-2245360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-2228215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-2245360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-2228215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-2245360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-2228215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-582295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-582295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-582295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-170815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478155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79" w:right="8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FINANCIAL CONDITION AND RESULTS OF OPERATIONS</w:t>
      </w:r>
    </w:p>
    <w:p>
      <w:pPr>
        <w:spacing w:after="0" w:line="207" w:lineRule="exact"/>
        <w:rPr>
          <w:sz w:val="20"/>
          <w:szCs w:val="20"/>
          <w:color w:val="auto"/>
        </w:rPr>
      </w:pPr>
    </w:p>
    <w:p>
      <w:pPr>
        <w:ind w:right="580" w:firstLine="562"/>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STRATTEC SECURITY CORPORATION’s accompanying Condensed Consolidated Financial Statements and Notes thereto and its Annual Report. Unless otherwise indicated, all references to quarters and years refer to fiscal quarters and fiscal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With a history spanning over 110 years, STRATTEC has consistently been at the forefront of innovation in vehicle security, transitioning from mechanical to integrated electro-mechanical systems. Our largest customers are three leading automotive OEMs in North America, but we also provide products to other OEMs around the world. Our offering is comprised of products primarily related to vehicle power access, security and authorization and select user interface controls. Vehicle and power access solutions include power sliding doors, tailgates and lift gate systems, as well as power deck lid systems. We also design and manufacture highly-engineered latches and door handles. Security and authorization products are comprised of mechanical and electronically enhanced locks and keys, fobs, passive entry passive start systems, steering column and instrument panel ignition lock housings and related solutions. We established our leading market position within North American automotive customers initially with our legacy mechanical locks and keys. We built upon that reputation with our engineering expertise in security and vehicle access, our flexible and responsive service and our deep relationships with our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Business Update</w:t>
      </w:r>
    </w:p>
    <w:p>
      <w:pPr>
        <w:spacing w:after="0" w:line="148" w:lineRule="exact"/>
        <w:rPr>
          <w:sz w:val="20"/>
          <w:szCs w:val="20"/>
          <w:color w:val="auto"/>
        </w:rPr>
      </w:pPr>
    </w:p>
    <w:p>
      <w:pPr>
        <w:ind w:right="100" w:firstLine="562"/>
        <w:spacing w:after="0" w:line="277" w:lineRule="auto"/>
        <w:rPr>
          <w:sz w:val="20"/>
          <w:szCs w:val="20"/>
          <w:color w:val="auto"/>
        </w:rPr>
      </w:pPr>
      <w:r>
        <w:rPr>
          <w:rFonts w:ascii="Times New Roman" w:cs="Times New Roman" w:eastAsia="Times New Roman" w:hAnsi="Times New Roman"/>
          <w:sz w:val="17"/>
          <w:szCs w:val="17"/>
          <w:color w:val="auto"/>
        </w:rPr>
        <w:t>In conjunction with a change in leadership in 2024, we are in the process of developing a strategy to strengthen the Company’s profitability and deliver sustainable sales growth. We expect to improve our business with upgraded systems and processes and a focus on productivity and efficiencies in our manufacturing operations. We are reviewing our product portfolio, focusing on improving our working capital velocity and standardizing/modernizing our support functions. We believe this optimized cost structure will allow us to capitalize on our technical engineering expertise, market leading positions and strong customer relationships to generate innovative solutions and predictable sales growth with new and existing customers.</w:t>
      </w:r>
    </w:p>
    <w:p>
      <w:pPr>
        <w:spacing w:after="0" w:line="168"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Volatility in the North American automotive industry is driven by supply chain disruptions, global inflation, thinning labor availability, rising global commodity costs and a changing geopolitical climate. These macro conditions, coupled with changes in production volumes by OEMs in response to new vehicle consumer demand impact our sales levels. It is expected that the North American automotive industry will grow modestly over the next several years. Despite short term softening of North American light vehicle production, we have delivered 6% sales growth over the first six months of fiscal 2025 as a result of new program launches and increased volumes on the platforms we serve. Although supply chain conditions have steadily improved and certain inflationary pressures have moderated, in the current year we continue to see material cost increases for certain commodities and electronics and higher logistics costs. In addition, a majority of our operations are in Mexico and therefore our financial results are impacted by labor inflation (government mandated increase in minimum wages) and we have exposure to changes in foreign currency exchange rates. We strive to mitigate the impact of these cost increases through supply chain and manufacturing efficiencies, strategic pricing and peso forward contracts. During the balance of fiscal 2025, we are focused on executing various initiatives to improve our cost structure, driving cash flow through improved asset and working capital utilization and securing new platforms to solidify future sales growth.</w:t>
      </w: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December 29, 2024 (second quarter fiscal 2025) compared with the three months ended December 31, 2023 (second quarter fiscal 2024)</w:t>
      </w:r>
    </w:p>
    <w:p>
      <w:pPr>
        <w:spacing w:after="0" w:line="187" w:lineRule="exact"/>
        <w:rPr>
          <w:sz w:val="20"/>
          <w:szCs w:val="20"/>
          <w:color w:val="auto"/>
        </w:rPr>
      </w:pPr>
    </w:p>
    <w:p>
      <w:pPr>
        <w:ind w:right="140" w:firstLine="562"/>
        <w:spacing w:after="0" w:line="256" w:lineRule="auto"/>
        <w:rPr>
          <w:sz w:val="20"/>
          <w:szCs w:val="20"/>
          <w:color w:val="auto"/>
        </w:rPr>
      </w:pPr>
      <w:r>
        <w:rPr>
          <w:rFonts w:ascii="Times New Roman" w:cs="Times New Roman" w:eastAsia="Times New Roman" w:hAnsi="Times New Roman"/>
          <w:sz w:val="18"/>
          <w:szCs w:val="18"/>
          <w:color w:val="auto"/>
        </w:rPr>
        <w:t>Second quarter fiscal 2025 net sales were $129.9 million, an increase of $11.4 million (9.6%) compared to the prior year second quarter. Net sales growth was broad based across most of our product portfolio and was driven by net new program launches ($6.0 million) and favorable mix. In addition, net sales on existing platforms increased $7.3 million as a result of customers building inventory levels, the prior year second quarter reflecting increased customer plant shutdowns and slightly higher production volumes. These volume increases more than offset a year-over-year reduction in pricing. The reduction in pricing is a result of the prior year second quarter including $3.9 million of one-time retroactive pricing recoveries, which was partially offset by current quarter margin accretive pricing of $0.6 million. Net sales to our customers in the second quarter were as follows (in millions):</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4780" w:type="dxa"/>
            <w:vAlign w:val="bottom"/>
          </w:tcPr>
          <w:p>
            <w:pPr>
              <w:spacing w:after="0"/>
              <w:rPr>
                <w:sz w:val="10"/>
                <w:szCs w:val="10"/>
                <w:color w:val="auto"/>
              </w:rPr>
            </w:pPr>
          </w:p>
        </w:tc>
        <w:tc>
          <w:tcPr>
            <w:tcW w:w="1000" w:type="dxa"/>
            <w:vAlign w:val="bottom"/>
            <w:gridSpan w:val="2"/>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80" w:type="dxa"/>
            <w:vAlign w:val="bottom"/>
          </w:tcPr>
          <w:p>
            <w:pPr>
              <w:spacing w:after="0"/>
              <w:rPr>
                <w:sz w:val="10"/>
                <w:szCs w:val="10"/>
                <w:color w:val="auto"/>
              </w:rPr>
            </w:pPr>
          </w:p>
        </w:tc>
        <w:tc>
          <w:tcPr>
            <w:tcW w:w="1000" w:type="dxa"/>
            <w:vAlign w:val="bottom"/>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Pr>
          <w:p>
            <w:pPr>
              <w:spacing w:after="0"/>
              <w:rPr>
                <w:sz w:val="10"/>
                <w:szCs w:val="10"/>
                <w:color w:val="auto"/>
              </w:rPr>
            </w:pPr>
          </w:p>
        </w:tc>
        <w:tc>
          <w:tcPr>
            <w:tcW w:w="80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r>
      <w:tr>
        <w:trPr>
          <w:trHeight w:val="173"/>
        </w:trPr>
        <w:tc>
          <w:tcPr>
            <w:tcW w:w="4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(11.4 )</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Hyundai Motor Group (including Kia)</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All Other Customers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r>
      <w:tr>
        <w:trPr>
          <w:trHeight w:val="250"/>
        </w:trPr>
        <w:tc>
          <w:tcPr>
            <w:tcW w:w="47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Meaningful drivers of the change in net sales for key customers are as follows:</w:t>
      </w:r>
    </w:p>
    <w:p>
      <w:pPr>
        <w:spacing w:after="0" w:line="27" w:lineRule="exact"/>
        <w:rPr>
          <w:sz w:val="20"/>
          <w:szCs w:val="20"/>
          <w:color w:val="auto"/>
        </w:rPr>
      </w:pPr>
    </w:p>
    <w:p>
      <w:pPr>
        <w:ind w:left="940" w:right="80" w:hanging="506"/>
        <w:spacing w:after="0" w:line="250"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Motors Company net sales increased 9% due to increased demand across all product categories driven by production volumes for full size SUVs and trucks, as well as the launch of a door handle program for the Equinox platform.</w:t>
      </w:r>
    </w:p>
    <w:p>
      <w:pPr>
        <w:ind w:left="940" w:right="480" w:hanging="506"/>
        <w:spacing w:after="0" w:line="250"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Ford Motor Company net sales grew 18% due to increased volume of key &amp; lockset products and new power end gate and latch product launches on F-Series and Super Duty trucks.</w:t>
      </w:r>
    </w:p>
    <w:p>
      <w:pPr>
        <w:ind w:left="940" w:right="240" w:hanging="506"/>
        <w:spacing w:after="0" w:line="250"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Stellantis net sales declined 11% a result of reduced demand for key &amp; lockset products in response to dealer inventory levels and customer demand, partially offset by increased sales for power access solutions for the Chrysler Pacifica minivan.</w:t>
      </w:r>
    </w:p>
    <w:p>
      <w:pPr>
        <w:ind w:left="940" w:right="320" w:hanging="506"/>
        <w:spacing w:after="0" w:line="250"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Hyundai Motor Group net sales increased 21% due to higher demand for power access solutions (on the Kia Carnival platform) to meet an increase in vehicle production builds.</w:t>
      </w:r>
    </w:p>
    <w:p>
      <w:pPr>
        <w:ind w:left="940" w:hanging="506"/>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to all other customers increased due to new product programs and increased volume.</w:t>
      </w:r>
    </w:p>
    <w:p>
      <w:pPr>
        <w:spacing w:after="0" w:line="234" w:lineRule="exact"/>
        <w:rPr>
          <w:sz w:val="20"/>
          <w:szCs w:val="20"/>
          <w:color w:val="auto"/>
        </w:rPr>
      </w:pPr>
    </w:p>
    <w:p>
      <w:pPr>
        <w:ind w:right="80" w:firstLine="562"/>
        <w:spacing w:after="0" w:line="266" w:lineRule="auto"/>
        <w:rPr>
          <w:sz w:val="20"/>
          <w:szCs w:val="20"/>
          <w:color w:val="auto"/>
        </w:rPr>
      </w:pPr>
      <w:r>
        <w:rPr>
          <w:rFonts w:ascii="Times New Roman" w:cs="Times New Roman" w:eastAsia="Times New Roman" w:hAnsi="Times New Roman"/>
          <w:sz w:val="18"/>
          <w:szCs w:val="18"/>
          <w:color w:val="auto"/>
        </w:rPr>
        <w:t>Second quarter fiscal 2025 gross profit was $17.2 million, compared to $13.5 million in the comparable prior year period. Despite favorable one-time pricing recoveries, net of supplier pass through requirements in the prior year, gross profit margin improved year-over-year from 11.4% to 13.2% as a result of the strengthening of the US dollar and improved leverage of our fixed cost structure on higher sales volumes.</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4"/>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December 29, 2024</w:t>
            </w:r>
          </w:p>
        </w:tc>
        <w:tc>
          <w:tcPr>
            <w:tcW w:w="100" w:type="dxa"/>
            <w:vAlign w:val="bottom"/>
          </w:tcPr>
          <w:p>
            <w:pPr>
              <w:spacing w:after="0"/>
              <w:rPr>
                <w:sz w:val="12"/>
                <w:szCs w:val="12"/>
                <w:color w:val="auto"/>
              </w:rPr>
            </w:pPr>
          </w:p>
        </w:tc>
        <w:tc>
          <w:tcPr>
            <w:tcW w:w="1940" w:type="dxa"/>
            <w:vAlign w:val="bottom"/>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2"/>
                <w:szCs w:val="12"/>
                <w:color w:val="auto"/>
              </w:rPr>
            </w:pPr>
          </w:p>
        </w:tc>
      </w:tr>
      <w:tr>
        <w:trPr>
          <w:trHeight w:val="117"/>
        </w:trPr>
        <w:tc>
          <w:tcPr>
            <w:tcW w:w="4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Millions of</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Millions of</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80" w:type="dxa"/>
            <w:vAlign w:val="bottom"/>
          </w:tcPr>
          <w:p>
            <w:pPr>
              <w:spacing w:after="0"/>
              <w:rPr>
                <w:sz w:val="10"/>
                <w:szCs w:val="10"/>
                <w:color w:val="auto"/>
              </w:rPr>
            </w:pPr>
          </w:p>
        </w:tc>
      </w:tr>
      <w:tr>
        <w:trPr>
          <w:trHeight w:val="173"/>
        </w:trPr>
        <w:tc>
          <w:tcPr>
            <w:tcW w:w="4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5"/>
                <w:szCs w:val="15"/>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material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3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55.4 %</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Labor and overhead costs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31.0</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r>
      <w:tr>
        <w:trPr>
          <w:trHeight w:val="250"/>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86.8 %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3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88.6 %</w:t>
            </w:r>
          </w:p>
        </w:tc>
      </w:tr>
      <w:tr>
        <w:trPr>
          <w:trHeight w:val="196"/>
        </w:trPr>
        <w:tc>
          <w:tcPr>
            <w:tcW w:w="44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r>
        <w:trPr>
          <w:trHeight w:val="23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3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11.4 %</w:t>
            </w: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-325120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-307975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-325120</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-307975</wp:posOffset>
            </wp:positionV>
            <wp:extent cx="1200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-325120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-307975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-325120</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-307975</wp:posOffset>
            </wp:positionV>
            <wp:extent cx="1200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1200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1200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1200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5" w:lineRule="exact"/>
        <w:rPr>
          <w:sz w:val="20"/>
          <w:szCs w:val="20"/>
          <w:color w:val="auto"/>
        </w:rPr>
      </w:pPr>
    </w:p>
    <w:p>
      <w:pPr>
        <w:jc w:val="both"/>
        <w:ind w:right="320" w:firstLine="562"/>
        <w:spacing w:after="0" w:line="258" w:lineRule="auto"/>
        <w:rPr>
          <w:sz w:val="20"/>
          <w:szCs w:val="20"/>
          <w:color w:val="auto"/>
        </w:rPr>
      </w:pPr>
      <w:r>
        <w:rPr>
          <w:rFonts w:ascii="Times New Roman" w:cs="Times New Roman" w:eastAsia="Times New Roman" w:hAnsi="Times New Roman"/>
          <w:sz w:val="18"/>
          <w:szCs w:val="18"/>
          <w:color w:val="auto"/>
        </w:rPr>
        <w:t>Material costs increased $6.9 million year-over-year on higher production levels and $0.7 million of additional costs associated with excess and obsolete inventory. Labor and overhead costs increased $0.9 million year-over-year, the net result of higher conversion costs, partially offset by a $3.5 million benefit from changes in foreign currency exchange rates associated with our Mexican operations. Incremental conversion costs were driven by higher sales volumes, a $1.4 million increase in government mandated Mexico labor costs and provisions for annual bonus expense of $0.6 million (no provision in the prior year), offset by an $0.8 million reduction in depreciation expense.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right="60" w:firstLine="562"/>
        <w:spacing w:after="0" w:line="256" w:lineRule="auto"/>
        <w:rPr>
          <w:sz w:val="20"/>
          <w:szCs w:val="20"/>
          <w:color w:val="auto"/>
        </w:rPr>
      </w:pPr>
      <w:r>
        <w:rPr>
          <w:rFonts w:ascii="Times New Roman" w:cs="Times New Roman" w:eastAsia="Times New Roman" w:hAnsi="Times New Roman"/>
          <w:sz w:val="18"/>
          <w:szCs w:val="18"/>
          <w:color w:val="auto"/>
        </w:rPr>
        <w:t>Engineering, selling and administrative expenses were $15.0 million in the second quarter of fiscal 2025, compared to $13.4 million in the prior year period. Increased expenses are associated with continued investments in the business, including business transformation costs of $0.2 million, $0.3 million of incremental equity compensation expense, an annual bonus provision of $0.8 million (no provision in the prior year) and a $0.3 million restructuring charge associated with the elimination of the third shift of our Milwaukee operations. These cost increases were partially offset by lower third party engineering spend of $0.8 million based on the timing of development projects. Both the current year and prior year second quarter include non-recurring executive transition costs of $1.2 million and $1.0 million, respectively.</w:t>
      </w:r>
    </w:p>
    <w:p>
      <w:pPr>
        <w:spacing w:after="0" w:line="187" w:lineRule="exact"/>
        <w:rPr>
          <w:sz w:val="20"/>
          <w:szCs w:val="20"/>
          <w:color w:val="auto"/>
        </w:rPr>
      </w:pPr>
    </w:p>
    <w:p>
      <w:pPr>
        <w:ind w:right="260" w:firstLine="562"/>
        <w:spacing w:after="0" w:line="282" w:lineRule="auto"/>
        <w:rPr>
          <w:sz w:val="20"/>
          <w:szCs w:val="20"/>
          <w:color w:val="auto"/>
        </w:rPr>
      </w:pPr>
      <w:r>
        <w:rPr>
          <w:rFonts w:ascii="Times New Roman" w:cs="Times New Roman" w:eastAsia="Times New Roman" w:hAnsi="Times New Roman"/>
          <w:sz w:val="18"/>
          <w:szCs w:val="18"/>
          <w:color w:val="auto"/>
        </w:rPr>
        <w:t>Interest expense relates to outstanding borrowings under our joint venture credit facility and increased to $0.3 million in the second quarter from $0.2 million in the prior year due to increased interest rates.</w:t>
      </w:r>
    </w:p>
    <w:p>
      <w:pPr>
        <w:spacing w:after="0" w:line="189" w:lineRule="exact"/>
        <w:rPr>
          <w:sz w:val="20"/>
          <w:szCs w:val="20"/>
          <w:color w:val="auto"/>
        </w:rPr>
      </w:pPr>
    </w:p>
    <w:p>
      <w:pPr>
        <w:ind w:right="240" w:firstLine="562"/>
        <w:spacing w:after="0" w:line="282" w:lineRule="auto"/>
        <w:rPr>
          <w:sz w:val="20"/>
          <w:szCs w:val="20"/>
          <w:color w:val="auto"/>
        </w:rPr>
      </w:pPr>
      <w:r>
        <w:rPr>
          <w:rFonts w:ascii="Times New Roman" w:cs="Times New Roman" w:eastAsia="Times New Roman" w:hAnsi="Times New Roman"/>
          <w:sz w:val="18"/>
          <w:szCs w:val="18"/>
          <w:color w:val="auto"/>
        </w:rPr>
        <w:t>Investment income increased to $0.4 million in the second quarter from $0.1 million in the prior year reflecting increased levels of cash and cash equivalents, which are invested in overnight money market funds.</w:t>
      </w:r>
    </w:p>
    <w:p>
      <w:pPr>
        <w:spacing w:after="0" w:line="189"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Other expense, net was $0.5 million in the second quarter compared to other income, net of $1.1 million in the prior year. The change was primarily due to changes in foreign currency exchange rates and gains or losses on peso forward contracts.</w:t>
      </w:r>
    </w:p>
    <w:p>
      <w:pPr>
        <w:spacing w:after="0" w:line="189"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22.5% and 25.3% for the second quarter of fiscal 2025 and 2024, respectively. The effective tax rate for both periods exceeds the U.S. federal statutory rate primarily because of the foreign rate differential, state income taxes, limitations on the utilization of foreign tax credits, non-deductible items and discrete items.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December 29, 2024 compared with the six months ended December 31, 2023</w:t>
      </w:r>
    </w:p>
    <w:p>
      <w:pPr>
        <w:spacing w:after="0" w:line="227"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Net sales in the first half of fiscal 2025 were $269.0 million, an increase of $15.1 million (5.9%) compared to the prior year period. Net sales growth was driven by $15.4 million of net new program launches as well as favorable mix. Additionally, higher production volumes on existing platforms and customer inventory builds increased sales by $6.1 million. Sales increases more than offset a year-over-year reduction in pricing. The reduction in pricing is a result of the prior year period including $9.5 million of one-time retroactive pricing recoveries, which was partially offset by current year margin accretive pricing. Net sales to our customers in the first half of fiscal 2025 were as follows (in millions):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880" w:type="dxa"/>
            <w:vAlign w:val="bottom"/>
          </w:tcPr>
          <w:p>
            <w:pPr>
              <w:jc w:val="right"/>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r>
      <w:tr>
        <w:trPr>
          <w:trHeight w:val="173"/>
        </w:trPr>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(16.0 )</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(39.5 )</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Hyundai Motor Group (including Kia)</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All Other Customers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18"/>
                <w:szCs w:val="18"/>
                <w:color w:val="auto"/>
              </w:rPr>
            </w:pPr>
          </w:p>
        </w:tc>
      </w:tr>
      <w:tr>
        <w:trPr>
          <w:trHeight w:val="250"/>
        </w:trPr>
        <w:tc>
          <w:tcPr>
            <w:tcW w:w="5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Meaningful drivers of the change in net sales for key customers are as follows:</w:t>
      </w:r>
    </w:p>
    <w:p>
      <w:pPr>
        <w:spacing w:after="0" w:line="27" w:lineRule="exact"/>
        <w:rPr>
          <w:sz w:val="20"/>
          <w:szCs w:val="20"/>
          <w:color w:val="auto"/>
        </w:rPr>
      </w:pPr>
    </w:p>
    <w:p>
      <w:pPr>
        <w:ind w:left="940" w:right="360" w:hanging="506"/>
        <w:spacing w:after="0" w:line="250"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Motors Company net sales increased 6% primarily due to overall volume increases for full size SUVs and pickups as well as new door handle volume for the Equinox EV, which impact was partially offset by several lockset programs ending.</w:t>
      </w:r>
    </w:p>
    <w:p>
      <w:pPr>
        <w:ind w:left="940" w:right="100" w:hanging="506"/>
        <w:spacing w:after="0" w:line="250"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Ford Motor Company net sales grew 19% mostly due to increased volumes and new tailgate and power end gate content on the Ford F-Series and Super Duty trucks.</w:t>
      </w:r>
    </w:p>
    <w:p>
      <w:pPr>
        <w:ind w:left="940" w:right="420" w:hanging="506"/>
        <w:spacing w:after="0" w:line="250"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Stellantis net sales declined 40% due to the combination of lower vehicle production volumes for several programs we supply, the end of several passenger car programs and reduced content on the Dodge Ram pickup.</w:t>
      </w:r>
    </w:p>
    <w:p>
      <w:pPr>
        <w:ind w:left="940" w:hanging="506"/>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Hyundai Motor Group net sales increased 44% due to higher demand for power door products and an increase in inventory builds.</w:t>
      </w:r>
    </w:p>
    <w:p>
      <w:pPr>
        <w:spacing w:after="0" w:line="9" w:lineRule="exact"/>
        <w:rPr>
          <w:rFonts w:ascii="Times New Roman" w:cs="Times New Roman" w:eastAsia="Times New Roman" w:hAnsi="Times New Roman"/>
          <w:sz w:val="18"/>
          <w:szCs w:val="18"/>
          <w:color w:val="auto"/>
        </w:rPr>
      </w:pPr>
    </w:p>
    <w:p>
      <w:pPr>
        <w:ind w:left="940" w:hanging="506"/>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to all other customers increased due to new product programs and increased volume.</w:t>
      </w:r>
    </w:p>
    <w:p>
      <w:pPr>
        <w:spacing w:after="0" w:line="234"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Gross profit was $36.1 million in the first half of fiscal 2025, compared to $32.2 million in the comparable prior year period. Despite favorable one-time pricing recoveries (net of supplier pass through requirements) in the prior year, gross profit margin improved year-over-year from 12.7% to 13.4% as a result of the strengthening of the US dollar and improved leverage of our fixed cost structure on higher sales volumes.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tbl>
      <w:tblPr>
        <w:tblLayout w:type="fixed"/>
        <w:tblInd w:w="58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December 29, 2024</w:t>
            </w:r>
          </w:p>
        </w:tc>
        <w:tc>
          <w:tcPr>
            <w:tcW w:w="140" w:type="dxa"/>
            <w:vAlign w:val="bottom"/>
          </w:tcPr>
          <w:p>
            <w:pPr>
              <w:spacing w:after="0"/>
              <w:rPr>
                <w:sz w:val="12"/>
                <w:szCs w:val="12"/>
                <w:color w:val="auto"/>
              </w:rPr>
            </w:pPr>
          </w:p>
        </w:tc>
        <w:tc>
          <w:tcPr>
            <w:tcW w:w="214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2"/>
                <w:szCs w:val="12"/>
                <w:color w:val="auto"/>
              </w:rPr>
            </w:pPr>
          </w:p>
        </w:tc>
      </w:tr>
      <w:tr>
        <w:trPr>
          <w:trHeight w:val="117"/>
        </w:trPr>
        <w:tc>
          <w:tcPr>
            <w:tcW w:w="50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Millions of</w:t>
            </w: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Millions of</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200" w:type="dxa"/>
            <w:vAlign w:val="bottom"/>
          </w:tcPr>
          <w:p>
            <w:pPr>
              <w:spacing w:after="0"/>
              <w:rPr>
                <w:sz w:val="10"/>
                <w:szCs w:val="10"/>
                <w:color w:val="auto"/>
              </w:rPr>
            </w:pPr>
          </w:p>
        </w:tc>
      </w:tr>
      <w:tr>
        <w:trPr>
          <w:trHeight w:val="173"/>
        </w:trPr>
        <w:tc>
          <w:tcPr>
            <w:tcW w:w="5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Pr>
          <w:p>
            <w:pPr>
              <w:spacing w:after="0"/>
              <w:rPr>
                <w:sz w:val="15"/>
                <w:szCs w:val="15"/>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material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560" w:type="dxa"/>
            <w:vAlign w:val="bottom"/>
            <w:gridSpan w:val="3"/>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56.0 %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460" w:type="dxa"/>
            <w:vAlign w:val="bottom"/>
            <w:gridSpan w:val="3"/>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55.4 %</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Labor and overhead costs</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18"/>
                <w:szCs w:val="18"/>
                <w:color w:val="auto"/>
              </w:rPr>
            </w:pPr>
          </w:p>
        </w:tc>
        <w:tc>
          <w:tcPr>
            <w:tcW w:w="1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18"/>
                <w:szCs w:val="18"/>
                <w:color w:val="auto"/>
              </w:rPr>
            </w:pPr>
          </w:p>
        </w:tc>
        <w:tc>
          <w:tcPr>
            <w:tcW w:w="10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18"/>
                <w:szCs w:val="18"/>
                <w:color w:val="auto"/>
              </w:rPr>
            </w:pPr>
          </w:p>
        </w:tc>
      </w:tr>
      <w:tr>
        <w:trPr>
          <w:trHeight w:val="249"/>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560" w:type="dxa"/>
            <w:vAlign w:val="bottom"/>
            <w:gridSpan w:val="3"/>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86.6 %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460" w:type="dxa"/>
            <w:vAlign w:val="bottom"/>
            <w:gridSpan w:val="3"/>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87.3 %</w:t>
            </w:r>
          </w:p>
        </w:tc>
      </w:tr>
      <w:tr>
        <w:trPr>
          <w:trHeight w:val="197"/>
        </w:trPr>
        <w:tc>
          <w:tcPr>
            <w:tcW w:w="50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r>
      <w:tr>
        <w:trPr>
          <w:trHeight w:val="23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13.4 %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60" w:type="dxa"/>
            <w:vAlign w:val="bottom"/>
            <w:gridSpan w:val="3"/>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12.7 %</w:t>
            </w: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-325120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-307975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-325120</wp:posOffset>
            </wp:positionV>
            <wp:extent cx="1200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-307975</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-325120</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-307975</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-325120</wp:posOffset>
            </wp:positionV>
            <wp:extent cx="1200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-307975</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1200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1200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59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-25400</wp:posOffset>
            </wp:positionV>
            <wp:extent cx="1200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120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Material costs increased $10.0 million year-over-year on higher production levels. Labor and overhead costs increased $1.2 million year-over-year. Excluding the $6.2 million benefit from changes in foreign currency exchange rates, conversion costs increased $7.4 million due to higher sales volumes, a $2.8 million increase in Mexico labor costs and provisions for annual bonus expense of $1.3 million, offset by a $1.5 million reduction in depreciation expense.</w:t>
      </w:r>
    </w:p>
    <w:p>
      <w:pPr>
        <w:spacing w:after="0" w:line="139" w:lineRule="exact"/>
        <w:rPr>
          <w:sz w:val="20"/>
          <w:szCs w:val="20"/>
          <w:color w:val="auto"/>
        </w:rPr>
      </w:pPr>
    </w:p>
    <w:p>
      <w:pPr>
        <w:ind w:right="20" w:firstLine="562"/>
        <w:spacing w:after="0" w:line="261" w:lineRule="auto"/>
        <w:rPr>
          <w:sz w:val="20"/>
          <w:szCs w:val="20"/>
          <w:color w:val="auto"/>
        </w:rPr>
      </w:pPr>
      <w:r>
        <w:rPr>
          <w:rFonts w:ascii="Times New Roman" w:cs="Times New Roman" w:eastAsia="Times New Roman" w:hAnsi="Times New Roman"/>
          <w:sz w:val="18"/>
          <w:szCs w:val="18"/>
          <w:color w:val="auto"/>
        </w:rPr>
        <w:t>Engineering, selling and administrative expenses were $28.9 million in the first half of fiscal 2025, compared to $26.1 million in the prior year period. Increased expenses are associated with continued investments in the business, including additional executive transition costs of $1.1 million, an annual bonus provision of $1.7 million (no provision in the prior year) and a $0.3 million restructuring charge. These cost increases were partially offset by lower third party engineering spend of $1.0 million.</w:t>
      </w:r>
    </w:p>
    <w:p>
      <w:pPr>
        <w:spacing w:after="0" w:line="180" w:lineRule="exact"/>
        <w:rPr>
          <w:sz w:val="20"/>
          <w:szCs w:val="20"/>
          <w:color w:val="auto"/>
        </w:rPr>
      </w:pPr>
    </w:p>
    <w:p>
      <w:pPr>
        <w:ind w:right="320" w:firstLine="562"/>
        <w:spacing w:after="0" w:line="282" w:lineRule="auto"/>
        <w:rPr>
          <w:sz w:val="20"/>
          <w:szCs w:val="20"/>
          <w:color w:val="auto"/>
        </w:rPr>
      </w:pPr>
      <w:r>
        <w:rPr>
          <w:rFonts w:ascii="Times New Roman" w:cs="Times New Roman" w:eastAsia="Times New Roman" w:hAnsi="Times New Roman"/>
          <w:sz w:val="18"/>
          <w:szCs w:val="18"/>
          <w:color w:val="auto"/>
        </w:rPr>
        <w:t>Interest expense relates to outstanding borrowings under our joint venture credit facility and increased to $0.6 million in the current year period from $0.4 million in the prior year due to increased interest rates.</w:t>
      </w:r>
    </w:p>
    <w:p>
      <w:pPr>
        <w:spacing w:after="0" w:line="189"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Investment income increased to $0.8 million in the first half of fiscal 2025 from $0.2 million in the prior year reflecting increased levels of cash and cash equivalents, which are invested in overnight money market funds.</w:t>
      </w:r>
    </w:p>
    <w:p>
      <w:pPr>
        <w:spacing w:after="0" w:line="189" w:lineRule="exact"/>
        <w:rPr>
          <w:sz w:val="20"/>
          <w:szCs w:val="20"/>
          <w:color w:val="auto"/>
        </w:rPr>
      </w:pPr>
    </w:p>
    <w:p>
      <w:pPr>
        <w:ind w:right="380" w:firstLine="562"/>
        <w:spacing w:after="0" w:line="282" w:lineRule="auto"/>
        <w:rPr>
          <w:sz w:val="20"/>
          <w:szCs w:val="20"/>
          <w:color w:val="auto"/>
        </w:rPr>
      </w:pPr>
      <w:r>
        <w:rPr>
          <w:rFonts w:ascii="Times New Roman" w:cs="Times New Roman" w:eastAsia="Times New Roman" w:hAnsi="Times New Roman"/>
          <w:sz w:val="18"/>
          <w:szCs w:val="18"/>
          <w:color w:val="auto"/>
        </w:rPr>
        <w:t>Other expense, net was $0.4 million in the current year period compared to other income, net of $1.0 million in the prior year. The change was primarily due to changes in foreign currency exchange rates and gains or losses on peso forward contracts.</w:t>
      </w:r>
    </w:p>
    <w:p>
      <w:pPr>
        <w:spacing w:after="0" w:line="189" w:lineRule="exact"/>
        <w:rPr>
          <w:sz w:val="20"/>
          <w:szCs w:val="20"/>
          <w:color w:val="auto"/>
        </w:rPr>
      </w:pPr>
    </w:p>
    <w:p>
      <w:pPr>
        <w:ind w:right="180" w:firstLine="569"/>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27.0% and 24.0% for the first half of fiscal 2025 and 2024, respectively. The effective tax rate for both periods exceeds the U.S. federal statutory rate primarily because of the foreign rate differential, state income taxes, limitations on the utilization of foreign tax credits, non-deductible items and discrete items.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At December 29, 2024, we had $42.6 million of cash and cash equivalents, of which $2.5 million was held by our foreign subsidiaries and $40.1 million was held domestically. Excess cash is held in money market funds. The following table summarizes our cash flows provided by (used in) operating, investing and financing activities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60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73"/>
        </w:trPr>
        <w:tc>
          <w:tcPr>
            <w:tcW w:w="6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(9.0 )</w:t>
            </w: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-25400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280" w:firstLine="562"/>
        <w:spacing w:after="0" w:line="266" w:lineRule="auto"/>
        <w:rPr>
          <w:sz w:val="20"/>
          <w:szCs w:val="20"/>
          <w:color w:val="auto"/>
        </w:rPr>
      </w:pPr>
      <w:r>
        <w:rPr>
          <w:rFonts w:ascii="Times New Roman" w:cs="Times New Roman" w:eastAsia="Times New Roman" w:hAnsi="Times New Roman"/>
          <w:sz w:val="18"/>
          <w:szCs w:val="18"/>
          <w:color w:val="auto"/>
        </w:rPr>
        <w:t>Cash flow from operations was $20.8 million for the first half of fiscal 2025, compared to a use of cash from operations in the prior year period. The increase in cash provided by operating activities was due to reduced purchasing levels on higher sales, collection of accounts receivable and the recovery of pre-production costs.</w:t>
      </w:r>
    </w:p>
    <w:p>
      <w:pPr>
        <w:spacing w:after="0" w:line="176" w:lineRule="exact"/>
        <w:rPr>
          <w:sz w:val="20"/>
          <w:szCs w:val="20"/>
          <w:color w:val="auto"/>
        </w:rPr>
      </w:pPr>
    </w:p>
    <w:p>
      <w:pPr>
        <w:ind w:right="100" w:firstLine="562"/>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$3.0 million during the first half of fiscal 2025 compared to $2.4 million in the prior year period. Capital expenditures to support new product programs and the upgrade and replacement of existing equipment were $3.0 million in the current year period compared to $4.4 million in the prior year period. The prior year also included $2.0 million in proceeds received from the sale of our interest in a previous joint venture.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17" w:name="page18"/>
    <w:bookmarkEnd w:id="17"/>
    <w:p>
      <w:pPr>
        <w:ind w:right="140" w:firstLine="562"/>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resulted from purchases of common stock under our employee stock purchase plan. During the first half of fiscal 2025, we borrowed and repaid amounts under the joint venture revolving credit agreement for short term cash requirements.</w:t>
      </w:r>
    </w:p>
    <w:p>
      <w:pPr>
        <w:spacing w:after="0" w:line="162"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At December 29, 2024, there were no borrowings outstanding under the $40 million STRATTEC revolving credit agreement and $13.0 million outstanding under the $20 million joint venture revolving credit agreement. The Company was in compliance with all covenants under its credit facilities at December 29, 2024. We believe that the revolving credit line, combined with our existing cash on hand and anticipated operating cash flows, will be adequate to meet operating, debt service and capital expenditure funding requirements for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Working Capital Management</w:t>
      </w:r>
    </w:p>
    <w:p>
      <w:pPr>
        <w:spacing w:after="0" w:line="162" w:lineRule="exact"/>
        <w:rPr>
          <w:sz w:val="20"/>
          <w:szCs w:val="20"/>
          <w:color w:val="auto"/>
        </w:rPr>
      </w:pPr>
    </w:p>
    <w:p>
      <w:pPr>
        <w:jc w:val="both"/>
        <w:ind w:right="260" w:firstLine="562"/>
        <w:spacing w:after="0" w:line="266" w:lineRule="auto"/>
        <w:rPr>
          <w:sz w:val="20"/>
          <w:szCs w:val="20"/>
          <w:color w:val="auto"/>
        </w:rPr>
      </w:pPr>
      <w:r>
        <w:rPr>
          <w:rFonts w:ascii="Times New Roman" w:cs="Times New Roman" w:eastAsia="Times New Roman" w:hAnsi="Times New Roman"/>
          <w:sz w:val="18"/>
          <w:szCs w:val="18"/>
          <w:color w:val="auto"/>
        </w:rPr>
        <w:t>We use primary working capital as a percentage of sales (PWC %) as a key metric of working capital management. We define this metric as the sum of net accounts receivable and net inventory less accounts payable, divided by the past three months sales annualized. The following table shows a comparison of primary working capital (dollars in millions):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PWC %</w:t>
            </w:r>
          </w:p>
        </w:tc>
        <w:tc>
          <w:tcPr>
            <w:tcW w:w="2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w w:val="99"/>
              </w:rPr>
              <w:t>PWC %</w:t>
            </w:r>
          </w:p>
        </w:tc>
        <w:tc>
          <w:tcPr>
            <w:tcW w:w="2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(51 )</w:t>
            </w:r>
          </w:p>
        </w:tc>
        <w:tc>
          <w:tcPr>
            <w:tcW w:w="7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(10 %)</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(55 )</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primary working capital</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-170815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1543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-170815</wp:posOffset>
            </wp:positionV>
            <wp:extent cx="1543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are recorded, processed, summarized and reported within the time periods specified in the Securities and Exchange Commission’s rules and forms, and that the information required to be disclosed by the Company in reports that it files or submits under the Exchange Act are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We have designed our disclosure controls and procedures to reach a level of reasonable assurance of achieving the desired control objectives.</w:t>
      </w:r>
    </w:p>
    <w:p>
      <w:pPr>
        <w:spacing w:after="0" w:line="187" w:lineRule="exact"/>
        <w:rPr>
          <w:sz w:val="20"/>
          <w:szCs w:val="20"/>
          <w:color w:val="auto"/>
        </w:rPr>
      </w:pPr>
    </w:p>
    <w:p>
      <w:pPr>
        <w:ind w:right="120" w:firstLine="569"/>
        <w:spacing w:after="0" w:line="25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Part II</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7"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We do not believe we are currently involved in any claim or action the ultimate disposition of which would have a material adverse effect on our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An investment in our Common Stock involves risks. Before making an investment decision, you should carefully consider all of the information in this Quarterly Report, including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If any of the identified risks are realized, our business, financial condition and operating results could be materially and adversely affected. In that case, the trading price of our Common Stock may decline. In addition, other risks of which we are currently unaware, or which we currently do not view as material, could have a material adverse effect on our business, financial condition and operating results. As of the date of this Quarterly Report, we are providing the following update to the “Business Risks – Cross-border or Tariffs” risk factor contained in our Annual Report.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Risks</w:t>
      </w:r>
    </w:p>
    <w:p>
      <w:pPr>
        <w:spacing w:after="0" w:line="117"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Cross-border Trade Issues or Tariffs – Our business is impacted by international or cross-border trade, including the import and export of products and goods into and out of the United States and trade tensions among nations. The shipping of goods across national borders is often more expensive and complicated than domestic shipping. Customs and duty procedures and reviews, including duty-free thresholds in various key markets, the application of tariffs, and security related governmental processes at international borders, may increase costs, discourage cross-border purchases, delay transit and create shipping uncertainties.</w:t>
      </w:r>
    </w:p>
    <w:p>
      <w:pPr>
        <w:spacing w:after="0" w:line="183" w:lineRule="exact"/>
        <w:rPr>
          <w:sz w:val="20"/>
          <w:szCs w:val="20"/>
          <w:color w:val="auto"/>
        </w:rPr>
      </w:pPr>
    </w:p>
    <w:p>
      <w:pPr>
        <w:ind w:right="60" w:firstLine="562"/>
        <w:spacing w:after="0" w:line="253" w:lineRule="auto"/>
        <w:rPr>
          <w:sz w:val="20"/>
          <w:szCs w:val="20"/>
          <w:color w:val="auto"/>
        </w:rPr>
      </w:pPr>
      <w:r>
        <w:rPr>
          <w:rFonts w:ascii="Times New Roman" w:cs="Times New Roman" w:eastAsia="Times New Roman" w:hAnsi="Times New Roman"/>
          <w:sz w:val="18"/>
          <w:szCs w:val="18"/>
          <w:color w:val="auto"/>
        </w:rPr>
        <w:t>We manufacture our products in Mexico and rely on a global supply chain to deliver raw materials and components that we need to manufacture our products. Our business benefits from certain free trade agreements, such as the United States-Mexico-Canada Agreement. Political and economic tensions between governments create uncertainty with respect to tariffs, taxes and trade policies. Changes in U.S. administrative policy may strain international trade relations and lead to the imposition of tariffs by the U.S. government on imports to the U.S., the imposition of non-tariff barriers or domestic preference procurement requirements, and/or the imposition of retaliatory tariffs and other reactionary measures by foreign countries involved in our business, including but not limited to Mexico, Canada, China, and European countries. These political and economic changes in policies could have a material effect on global economic conditions and significantly decrease global trade, which could adversely impact our production costs, purchased material costs, ability to compete, customer demand and short-term vehicle production levels and relationships with suppliers and customers. Any of these consequences could reduce profitability on certain of our products and have a material adverse effect on our results of operations, financial condition and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Use of Proceeds, and Issuer Purchases of Equity Securities</w:t>
      </w:r>
    </w:p>
    <w:p>
      <w:pPr>
        <w:spacing w:after="0" w:line="117"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on October 16, 1996. The Board of Directors has periodically increased the number of shares authorized for repurchase under the program, most recently in August 2008. The program currently authorizes the repurchase of up to 3,839,395 shares of our common stock from time to time, directly or through brokers or agents, and has no expiration date. Over the life of the repurchase program through December 29, 2024, a total of 3,655,322 shares have been repurchased at a cost of approximately $136.4 million. No shares were repurchased during the six month period ended December 29,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Securities—None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Disclosures—None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  Trading Plans.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0" w:name="page21"/>
    <w:bookmarkEnd w:id="20"/>
    <w:p>
      <w:pPr>
        <w:ind w:left="520" w:right="820"/>
        <w:spacing w:after="0" w:line="273" w:lineRule="auto"/>
        <w:rPr>
          <w:sz w:val="20"/>
          <w:szCs w:val="20"/>
          <w:color w:val="auto"/>
        </w:rPr>
      </w:pPr>
      <w:r>
        <w:rPr>
          <w:rFonts w:ascii="Times New Roman" w:cs="Times New Roman" w:eastAsia="Times New Roman" w:hAnsi="Times New Roman"/>
          <w:sz w:val="18"/>
          <w:szCs w:val="18"/>
          <w:color w:val="auto"/>
        </w:rPr>
        <w:t>During the fiscal quarter ended December 29, 2024, no director or officer of the Company adopted or terminated a “Rule 10b5-1 trading arrangement” or “non-Rule 10b5-1 trading arrangement,” as each term is defined in Item 408(a) of Regulation S-K.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pacing w:after="0" w:line="86"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0280" w:type="dxa"/>
            <w:vAlign w:val="bottom"/>
            <w:gridSpan w:val="25"/>
          </w:tcPr>
          <w:p>
            <w:pPr>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Amended and Restated Articles of Incorporation of the Company (Incorporated by reference from Exhibit 3.1 to the Form 10-K filed on September 7, 2017)</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028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Amendment to Amended and Restated Articles of Incorporation of the Company (Incorporated by reference from Exhibit 3.1 to the Form 10-Q report filed on</w:t>
              </w:r>
            </w:hyperlink>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November 7, 2019)</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024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Amendment to Amended and Restated Articles of Incorporation of the Company (Incorporated by reference from Exhibit 3.1 to the Form 8-K report filed on</w:t>
              </w:r>
            </w:hyperlink>
          </w:p>
        </w:tc>
        <w:tc>
          <w:tcPr>
            <w:tcW w:w="40" w:type="dxa"/>
            <w:vAlign w:val="bottom"/>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October 21, 2021)</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1018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Amendment to Amended and Restated Articles of Incorporation of the Company (Incorporated by reference from Exhibit 3.1 to the Current Report on Form</w:t>
              </w:r>
            </w:hyperlink>
          </w:p>
        </w:tc>
        <w:tc>
          <w:tcPr>
            <w:tcW w:w="100" w:type="dxa"/>
            <w:vAlign w:val="bottom"/>
            <w:gridSpan w:val="4"/>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2060" w:type="dxa"/>
            <w:vAlign w:val="bottom"/>
            <w:tcBorders>
              <w:bottom w:val="single" w:sz="8" w:color="0000EE"/>
            </w:tcBorders>
            <w:gridSpan w:val="6"/>
          </w:tcPr>
          <w:p>
            <w:pPr>
              <w:spacing w:after="0" w:line="183"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8-K filed on October 23, 2024)</w:t>
              </w:r>
            </w:hyperlink>
          </w:p>
        </w:tc>
        <w:tc>
          <w:tcPr>
            <w:tcW w:w="8220" w:type="dxa"/>
            <w:vAlign w:val="bottom"/>
            <w:gridSpan w:val="19"/>
          </w:tcPr>
          <w:p>
            <w:pPr>
              <w:spacing w:after="0"/>
              <w:rPr>
                <w:sz w:val="15"/>
                <w:szCs w:val="15"/>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0280" w:type="dxa"/>
            <w:vAlign w:val="bottom"/>
            <w:gridSpan w:val="25"/>
          </w:tcPr>
          <w:p>
            <w:pPr>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Amended By-Laws of the Company (Incorporated by reference from Exhibit 3.2 to the Current Report on Form 8-K filed on October 23, 2024)</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028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STRATTEC SECURITY CORPORATION 2024 Equity Incentive Plan (Incorporated by reference from Exhibit 10.1 to the Current Report on Form 8-K filed</w:t>
              </w:r>
            </w:hyperlink>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on October 23, 2024)*</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016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STRATTEC SECURITY CORPORATION Short-Term Incentive Plan for Fiscal Year 2025 (Incorporated by reference from Exhibit 10.2 to the Form 10-Q</w:t>
              </w:r>
            </w:hyperlink>
          </w:p>
        </w:tc>
        <w:tc>
          <w:tcPr>
            <w:tcW w:w="120" w:type="dxa"/>
            <w:vAlign w:val="bottom"/>
            <w:gridSpan w:val="5"/>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filed on November 7, 2024)</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00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First Amendment to Employment Agreement between the Company and Jennifer L. Slater (Incorporated by reference from Exhibit 10.3 to the Form 10-Q</w:t>
              </w:r>
            </w:hyperlink>
          </w:p>
        </w:tc>
        <w:tc>
          <w:tcPr>
            <w:tcW w:w="240" w:type="dxa"/>
            <w:vAlign w:val="bottom"/>
            <w:gridSpan w:val="6"/>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filed on November 7, 2024)</w:t>
              </w:r>
              <w:r>
                <w:rPr>
                  <w:rFonts w:ascii="Times New Roman" w:cs="Times New Roman" w:eastAsia="Times New Roman" w:hAnsi="Times New Roman"/>
                  <w:sz w:val="16"/>
                  <w:szCs w:val="16"/>
                  <w:color w:val="000000"/>
                </w:rPr>
                <w:t>*</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20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Restricted Stock Award Agreement under the STRATTEC SECURITY CORPORATION 2024 Equity Incentive Plan between the Company and Jennifer L.</w:t>
              </w:r>
            </w:hyperlink>
          </w:p>
        </w:tc>
        <w:tc>
          <w:tcPr>
            <w:tcW w:w="80" w:type="dxa"/>
            <w:vAlign w:val="bottom"/>
            <w:gridSpan w:val="3"/>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Slater dated October 25, 2024 (Incorporated by reference to Exhibit 10.1 to the Current Report on Form 8-K filed on October 31, 2024)</w:t>
              </w:r>
              <w:r>
                <w:rPr>
                  <w:rFonts w:ascii="Times New Roman" w:cs="Times New Roman" w:eastAsia="Times New Roman" w:hAnsi="Times New Roman"/>
                  <w:sz w:val="16"/>
                  <w:szCs w:val="16"/>
                  <w:color w:val="000000"/>
                </w:rPr>
                <w:t>*</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1020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Restricted Stock Award Agreement under the STRATTEC SECURITY CORPORATION 2024 Equity Incentive Plan between the Company and Jennifer L.</w:t>
              </w:r>
            </w:hyperlink>
          </w:p>
        </w:tc>
        <w:tc>
          <w:tcPr>
            <w:tcW w:w="80" w:type="dxa"/>
            <w:vAlign w:val="bottom"/>
            <w:gridSpan w:val="3"/>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Slater dated October 25, 2024 (Incorporated by reference to Exhibit 10.2 to the Current Report on Form 8-K filed on October 31, 2024)</w:t>
              </w:r>
              <w:r>
                <w:rPr>
                  <w:rFonts w:ascii="Times New Roman" w:cs="Times New Roman" w:eastAsia="Times New Roman" w:hAnsi="Times New Roman"/>
                  <w:sz w:val="16"/>
                  <w:szCs w:val="16"/>
                  <w:color w:val="000000"/>
                </w:rPr>
                <w:t>*</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020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Restricted Stock Award Agreement under the STRATTEC SECURITY CORPORATION 2024 Equity Incentive Plan between the Company and Jennifer L.</w:t>
              </w:r>
            </w:hyperlink>
          </w:p>
        </w:tc>
        <w:tc>
          <w:tcPr>
            <w:tcW w:w="80" w:type="dxa"/>
            <w:vAlign w:val="bottom"/>
            <w:gridSpan w:val="3"/>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Slater dated October 25, 2024 (Incorporated by reference to Exhibit 10.3 to the Current Report on Form 8-K filed on October 31, 2024)</w:t>
              </w:r>
              <w:r>
                <w:rPr>
                  <w:rFonts w:ascii="Times New Roman" w:cs="Times New Roman" w:eastAsia="Times New Roman" w:hAnsi="Times New Roman"/>
                  <w:sz w:val="16"/>
                  <w:szCs w:val="16"/>
                  <w:color w:val="000000"/>
                </w:rPr>
                <w:t>*</w:t>
              </w:r>
            </w:hyperlink>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97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Performance Restricted Stock Unit Award Agreement under the STRATTEC SECURITY CORPORATION 2024 Equity Incentive Plan between the</w:t>
              </w:r>
            </w:hyperlink>
          </w:p>
        </w:tc>
        <w:tc>
          <w:tcPr>
            <w:tcW w:w="580" w:type="dxa"/>
            <w:vAlign w:val="bottom"/>
            <w:gridSpan w:val="8"/>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Company and Jennifer L. Slater dated October 25, 2024 (Incorporated by reference to Exhibit 10.4 to the Current Report on Form 8-K filed on October 31,</w:t>
              </w:r>
            </w:hyperlink>
          </w:p>
        </w:tc>
      </w:tr>
      <w:tr>
        <w:trPr>
          <w:trHeight w:val="183"/>
        </w:trPr>
        <w:tc>
          <w:tcPr>
            <w:tcW w:w="800" w:type="dxa"/>
            <w:vAlign w:val="bottom"/>
          </w:tcPr>
          <w:p>
            <w:pPr>
              <w:spacing w:after="0"/>
              <w:rPr>
                <w:sz w:val="15"/>
                <w:szCs w:val="15"/>
                <w:color w:val="auto"/>
              </w:rPr>
            </w:pPr>
          </w:p>
        </w:tc>
        <w:tc>
          <w:tcPr>
            <w:tcW w:w="1200" w:type="dxa"/>
            <w:vAlign w:val="bottom"/>
            <w:tcBorders>
              <w:top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2024)</w:t>
              </w:r>
              <w:r>
                <w:rPr>
                  <w:rFonts w:ascii="Times New Roman" w:cs="Times New Roman" w:eastAsia="Times New Roman" w:hAnsi="Times New Roman"/>
                  <w:sz w:val="16"/>
                  <w:szCs w:val="16"/>
                  <w:color w:val="000000"/>
                </w:rPr>
                <w:t>*</w:t>
              </w:r>
            </w:hyperlink>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394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1022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Employment Agreement between the Company and Matthew P. Pauli effective November 13, 2024 (Incorporated by reference to Exhibit 10.1 to the Current</w:t>
              </w:r>
            </w:hyperlink>
          </w:p>
        </w:tc>
        <w:tc>
          <w:tcPr>
            <w:tcW w:w="60" w:type="dxa"/>
            <w:vAlign w:val="bottom"/>
            <w:gridSpan w:val="2"/>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Report on Form 8-K filed November 12, 2024)</w:t>
              </w:r>
              <w:r>
                <w:rPr>
                  <w:rFonts w:ascii="Times New Roman" w:cs="Times New Roman" w:eastAsia="Times New Roman" w:hAnsi="Times New Roman"/>
                  <w:sz w:val="16"/>
                  <w:szCs w:val="16"/>
                  <w:color w:val="000000"/>
                </w:rPr>
                <w:t>*</w:t>
              </w:r>
            </w:hyperlink>
          </w:p>
        </w:tc>
      </w:tr>
      <w:tr>
        <w:trPr>
          <w:trHeight w:val="20"/>
        </w:trPr>
        <w:tc>
          <w:tcPr>
            <w:tcW w:w="800" w:type="dxa"/>
            <w:vAlign w:val="bottom"/>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97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Restricted Stock Unit Award Agreement under the STRATTEC SECURITY CORPORATION 2024 Equity Incentive Plan between the Company and</w:t>
            </w:r>
          </w:p>
        </w:tc>
        <w:tc>
          <w:tcPr>
            <w:tcW w:w="500" w:type="dxa"/>
            <w:vAlign w:val="bottom"/>
            <w:gridSpan w:val="7"/>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2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FF"/>
              </w:rPr>
              <w:t>Matthew P. Pauli dated November 13, 2024</w:t>
            </w:r>
            <w:r>
              <w:rPr>
                <w:rFonts w:ascii="Times New Roman" w:cs="Times New Roman" w:eastAsia="Times New Roman" w:hAnsi="Times New Roman"/>
                <w:sz w:val="16"/>
                <w:szCs w:val="16"/>
                <w:color w:val="000000"/>
              </w:rPr>
              <w:t>*</w:t>
            </w:r>
          </w:p>
        </w:tc>
      </w:tr>
      <w:tr>
        <w:trPr>
          <w:trHeight w:val="20"/>
        </w:trPr>
        <w:tc>
          <w:tcPr>
            <w:tcW w:w="800" w:type="dxa"/>
            <w:vAlign w:val="bottom"/>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102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Form of Restricted Stock Grant Agreement for non-employee directors</w:t>
            </w: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6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Form of Stock Grant Agreement for non-employee directors</w:t>
            </w:r>
          </w:p>
        </w:tc>
        <w:tc>
          <w:tcPr>
            <w:tcW w:w="5680" w:type="dxa"/>
            <w:vAlign w:val="bottom"/>
            <w:gridSpan w:val="13"/>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2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Rule 13a-14(a) Certification for Jennifer L. Slater, Chief Executive Officer</w:t>
            </w: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8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Rule 13a-14(a) Certification for Matthew Pauli, Chief Financial Officer</w:t>
            </w:r>
          </w:p>
        </w:tc>
        <w:tc>
          <w:tcPr>
            <w:tcW w:w="5420" w:type="dxa"/>
            <w:vAlign w:val="bottom"/>
            <w:gridSpan w:val="11"/>
          </w:tcPr>
          <w:p>
            <w:pPr>
              <w:spacing w:after="0"/>
              <w:rPr>
                <w:sz w:val="24"/>
                <w:szCs w:val="24"/>
                <w:color w:val="auto"/>
              </w:rPr>
            </w:pPr>
          </w:p>
        </w:tc>
      </w:tr>
      <w:tr>
        <w:trPr>
          <w:trHeight w:val="304"/>
        </w:trPr>
        <w:tc>
          <w:tcPr>
            <w:tcW w:w="800" w:type="dxa"/>
            <w:vAlign w:val="bottom"/>
          </w:tcPr>
          <w:p>
            <w:pPr>
              <w:spacing w:after="0" w:line="304" w:lineRule="exact"/>
              <w:rPr>
                <w:sz w:val="20"/>
                <w:szCs w:val="20"/>
                <w:color w:val="auto"/>
              </w:rPr>
            </w:pPr>
            <w:r>
              <w:rPr>
                <w:rFonts w:ascii="Times New Roman" w:cs="Times New Roman" w:eastAsia="Times New Roman" w:hAnsi="Times New Roman"/>
                <w:sz w:val="32"/>
                <w:szCs w:val="32"/>
                <w:color w:val="auto"/>
                <w:vertAlign w:val="subscript"/>
              </w:rPr>
              <w:t>32</w:t>
            </w:r>
            <w:r>
              <w:rPr>
                <w:rFonts w:ascii="Times New Roman" w:cs="Times New Roman" w:eastAsia="Times New Roman" w:hAnsi="Times New Roman"/>
                <w:sz w:val="11"/>
                <w:szCs w:val="11"/>
                <w:color w:val="auto"/>
              </w:rPr>
              <w:t xml:space="preserve"> (1)</w:t>
            </w:r>
          </w:p>
        </w:tc>
        <w:tc>
          <w:tcPr>
            <w:tcW w:w="24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18 U.S.C. Section 1350 Certifications</w:t>
            </w:r>
          </w:p>
        </w:tc>
        <w:tc>
          <w:tcPr>
            <w:tcW w:w="20" w:type="dxa"/>
            <w:vAlign w:val="bottom"/>
            <w:tcBorders>
              <w:top w:val="single" w:sz="8" w:color="0000FF"/>
              <w:bottom w:val="single" w:sz="8" w:color="0000EE"/>
            </w:tcBorders>
          </w:tcPr>
          <w:p>
            <w:pPr>
              <w:spacing w:after="0"/>
              <w:rPr>
                <w:sz w:val="24"/>
                <w:szCs w:val="24"/>
                <w:color w:val="auto"/>
              </w:rPr>
            </w:pPr>
          </w:p>
        </w:tc>
        <w:tc>
          <w:tcPr>
            <w:tcW w:w="2160" w:type="dxa"/>
            <w:vAlign w:val="bottom"/>
            <w:tcBorders>
              <w:top w:val="single" w:sz="8" w:color="0000FF"/>
            </w:tcBorders>
            <w:gridSpan w:val="5"/>
          </w:tcPr>
          <w:p>
            <w:pPr>
              <w:spacing w:after="0"/>
              <w:rPr>
                <w:sz w:val="24"/>
                <w:szCs w:val="24"/>
                <w:color w:val="auto"/>
              </w:rPr>
            </w:pPr>
          </w:p>
        </w:tc>
        <w:tc>
          <w:tcPr>
            <w:tcW w:w="5640" w:type="dxa"/>
            <w:vAlign w:val="bottom"/>
            <w:gridSpan w:val="12"/>
          </w:tcPr>
          <w:p>
            <w:pPr>
              <w:spacing w:after="0"/>
              <w:rPr>
                <w:sz w:val="24"/>
                <w:szCs w:val="24"/>
                <w:color w:val="auto"/>
              </w:rPr>
            </w:pPr>
          </w:p>
        </w:tc>
      </w:tr>
    </w:tbl>
    <w:p>
      <w:pPr>
        <w:spacing w:after="0" w:line="135" w:lineRule="exact"/>
        <w:rPr>
          <w:sz w:val="20"/>
          <w:szCs w:val="20"/>
          <w:color w:val="auto"/>
        </w:rPr>
      </w:pPr>
    </w:p>
    <w:p>
      <w:pPr>
        <w:ind w:left="880" w:right="40" w:hanging="798"/>
        <w:spacing w:after="0" w:line="272"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STRATTEC SECURITY CORPORATION's Quarterly Report on Form 10-Q for the fiscal quarter ended December 29, 2024 formatted in XBRL (eXtensible Business Reporting Language) and furnished electronically herewith: (i) Condensed Consolidated Statements of Income and Comprehensive Income; (ii) Condensed Consolidated Balance Sheets; (iii) Condensed Consolidated Statements of Cash Flows; and (iv) Notes to Condensed Consolidated Financial Statements. XBRL Instance Document – the XBRL Instance Document does not appear in the Interactive Data File because its XBRL tags are embedded within the Inline XBRL document.</w:t>
      </w:r>
    </w:p>
    <w:p>
      <w:pPr>
        <w:spacing w:after="0" w:line="91" w:lineRule="exact"/>
        <w:rPr>
          <w:sz w:val="20"/>
          <w:szCs w:val="20"/>
          <w:color w:val="auto"/>
        </w:rPr>
      </w:pPr>
    </w:p>
    <w:p>
      <w:pPr>
        <w:ind w:left="880" w:right="500" w:hanging="798"/>
        <w:spacing w:after="0" w:line="298" w:lineRule="auto"/>
        <w:tabs>
          <w:tab w:leader="none" w:pos="88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 ended December 29, 2024, formatted in Inline XBRL (included in Exhibit 101).</w:t>
      </w:r>
    </w:p>
    <w:p>
      <w:pPr>
        <w:spacing w:after="0" w:line="16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258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21" w:name="page22"/>
    <w:bookmarkEnd w:id="21"/>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Filed herewith</w:t>
      </w:r>
    </w:p>
    <w:p>
      <w:pPr>
        <w:spacing w:after="0" w:line="32" w:lineRule="exact"/>
        <w:rPr>
          <w:sz w:val="20"/>
          <w:szCs w:val="20"/>
          <w:color w:val="auto"/>
        </w:rPr>
      </w:pPr>
    </w:p>
    <w:p>
      <w:pPr>
        <w:ind w:right="220" w:firstLine="8"/>
        <w:spacing w:after="0" w:line="226" w:lineRule="auto"/>
        <w:tabs>
          <w:tab w:leader="none" w:pos="324"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0" w:firstLine="5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1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STRATTEC SECURITY CORPORATION (Registrant)</w:t>
            </w:r>
          </w:p>
        </w:tc>
      </w:tr>
      <w:tr>
        <w:trPr>
          <w:trHeight w:val="45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2025</w:t>
            </w:r>
          </w:p>
        </w:tc>
        <w:tc>
          <w:tcPr>
            <w:tcW w:w="71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Matthew Pauli</w:t>
            </w:r>
          </w:p>
        </w:tc>
      </w:tr>
      <w:tr>
        <w:trPr>
          <w:trHeight w:val="191"/>
        </w:trPr>
        <w:tc>
          <w:tcPr>
            <w:tcW w:w="4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Pauli</w:t>
            </w:r>
          </w:p>
        </w:tc>
      </w:tr>
      <w:tr>
        <w:trPr>
          <w:trHeight w:val="216"/>
        </w:trPr>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r>
        <w:trPr>
          <w:trHeight w:val="234"/>
        </w:trPr>
        <w:tc>
          <w:tcPr>
            <w:tcW w:w="40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color w:val="auto"/>
        </w:rPr>
        <w:t>Exhibit 10.9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2024 EQUITY INCENTIVE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AWARD AGREEMENT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STRATTEC Security Corporation (the “Company”) hereby grants the undersigned Participant an award of Shares of Restricted Stock, subject to the terms and conditions described in the STRATTEC Security Corporation 2024 Equity Incentive Plan, effective as of October 25, 2024 and as amended from time to time (the “Plan”), and this Restricted Stock Award Agreement (this “Award Agreement”). Capitalized terms that are not defined in this Award Agreement shall have the same meaning as in the Plan.</w:t>
      </w:r>
    </w:p>
    <w:p>
      <w:pPr>
        <w:spacing w:after="0" w:line="176"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Name of Participant</w:t>
      </w:r>
      <w:r>
        <w:rPr>
          <w:rFonts w:ascii="Times New Roman" w:cs="Times New Roman" w:eastAsia="Times New Roman" w:hAnsi="Times New Roman"/>
          <w:sz w:val="20"/>
          <w:szCs w:val="20"/>
          <w:color w:val="auto"/>
        </w:rPr>
        <w:t>: Matthew P. Pauli (the “Participant”)</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Grant Date</w:t>
      </w:r>
      <w:r>
        <w:rPr>
          <w:rFonts w:ascii="Times New Roman" w:cs="Times New Roman" w:eastAsia="Times New Roman" w:hAnsi="Times New Roman"/>
          <w:sz w:val="20"/>
          <w:szCs w:val="20"/>
          <w:color w:val="auto"/>
        </w:rPr>
        <w:t>: November 13, 2024 (the “Grant Date”)</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Number of Shares of Restricted Stock</w:t>
      </w:r>
      <w:r>
        <w:rPr>
          <w:rFonts w:ascii="Times New Roman" w:cs="Times New Roman" w:eastAsia="Times New Roman" w:hAnsi="Times New Roman"/>
          <w:sz w:val="20"/>
          <w:szCs w:val="20"/>
          <w:color w:val="auto"/>
        </w:rPr>
        <w:t>: 5,191 Shares (“Restricted Stock”)</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Vesting and Forfeiture of Restricted Stock</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44" w:lineRule="auto"/>
        <w:tabs>
          <w:tab w:leader="none" w:pos="121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Vesting</w:t>
      </w:r>
      <w:r>
        <w:rPr>
          <w:rFonts w:ascii="Times New Roman" w:cs="Times New Roman" w:eastAsia="Times New Roman" w:hAnsi="Times New Roman"/>
          <w:sz w:val="20"/>
          <w:szCs w:val="20"/>
          <w:color w:val="auto"/>
        </w:rPr>
        <w:t>. Subject to the forfeiture provisions in Section 4(b) of this Award Agreement and the accelerated vesting provisions in Section 4(c) of this Award Agreement, and subject to the Participant’s continued employment with the Company through the applicable Vesting Date (as defined below), the Shares of Restricted Stock shall vest as follows: (i) one-third of the Shares of Restricted Stock shall vest on the first anniversary of the Grant Date (rounded up to the nearest whole number of Shares, as necessary); (ii) one-third of the Shares of Restricted Stock shall vest on the second anniversary of the Grant Date (rounded up to the nearest whole number of Shares, as necessary); and (iii) the remaining Shares of Restricted Stock shall vest on the third anniversary of the Grant Date (each, a “Vesting Date”).</w:t>
      </w:r>
    </w:p>
    <w:p>
      <w:pPr>
        <w:spacing w:after="0" w:line="185" w:lineRule="exact"/>
        <w:rPr>
          <w:rFonts w:ascii="Times New Roman" w:cs="Times New Roman" w:eastAsia="Times New Roman" w:hAnsi="Times New Roman"/>
          <w:sz w:val="20"/>
          <w:szCs w:val="20"/>
          <w:color w:val="auto"/>
        </w:rPr>
      </w:pPr>
    </w:p>
    <w:p>
      <w:pPr>
        <w:ind w:left="1500" w:hanging="690"/>
        <w:spacing w:after="0" w:line="254" w:lineRule="auto"/>
        <w:tabs>
          <w:tab w:leader="none" w:pos="1201"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Rights</w:t>
      </w:r>
      <w:r>
        <w:rPr>
          <w:rFonts w:ascii="Times New Roman" w:cs="Times New Roman" w:eastAsia="Times New Roman" w:hAnsi="Times New Roman"/>
          <w:sz w:val="20"/>
          <w:szCs w:val="20"/>
          <w:color w:val="auto"/>
        </w:rPr>
        <w:t>. Any unvested Shares of Restricted Stock shall immediately be forfeited if, prior to the applicable Vesting Date, the Participant’s employment with the Company terminates for any reason, other than as described in Section 4(c) of this Award Agreement.</w:t>
      </w:r>
    </w:p>
    <w:p>
      <w:pPr>
        <w:spacing w:after="0" w:line="174"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anything herein to the contrary:</w:t>
      </w:r>
    </w:p>
    <w:p>
      <w:pPr>
        <w:spacing w:after="0" w:line="211" w:lineRule="exact"/>
        <w:rPr>
          <w:rFonts w:ascii="Times New Roman" w:cs="Times New Roman" w:eastAsia="Times New Roman" w:hAnsi="Times New Roman"/>
          <w:sz w:val="20"/>
          <w:szCs w:val="20"/>
          <w:color w:val="auto"/>
        </w:rPr>
      </w:pPr>
    </w:p>
    <w:p>
      <w:pPr>
        <w:ind w:left="2260" w:hanging="754"/>
        <w:spacing w:after="0" w:line="250" w:lineRule="auto"/>
        <w:tabs>
          <w:tab w:leader="none" w:pos="1907"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Due to Death or Disability</w:t>
      </w:r>
      <w:r>
        <w:rPr>
          <w:rFonts w:ascii="Times New Roman" w:cs="Times New Roman" w:eastAsia="Times New Roman" w:hAnsi="Times New Roman"/>
          <w:sz w:val="20"/>
          <w:szCs w:val="20"/>
          <w:color w:val="auto"/>
        </w:rPr>
        <w:t>. If the Participant’s employment with the Company terminates as a result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Participant’s death or the Participant’s Disability (as defined in the Employment Agreement by and between the Company and the Participant (the “Employment Agreement”)), then all unvested Shares of Restricted Stock shall vest immediately as of the date of such termination.</w:t>
      </w:r>
    </w:p>
    <w:p>
      <w:pPr>
        <w:spacing w:after="0" w:line="175" w:lineRule="exact"/>
        <w:rPr>
          <w:rFonts w:ascii="Times New Roman" w:cs="Times New Roman" w:eastAsia="Times New Roman" w:hAnsi="Times New Roman"/>
          <w:sz w:val="20"/>
          <w:szCs w:val="20"/>
          <w:color w:val="auto"/>
        </w:rPr>
      </w:pPr>
    </w:p>
    <w:p>
      <w:pPr>
        <w:ind w:left="2260" w:hanging="754"/>
        <w:spacing w:after="0" w:line="268" w:lineRule="auto"/>
        <w:tabs>
          <w:tab w:leader="none" w:pos="1907" w:val="left"/>
        </w:tabs>
        <w:numPr>
          <w:ilvl w:val="2"/>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Termination by the Company Without Cause or by the Participant for Good Reason</w:t>
      </w:r>
      <w:r>
        <w:rPr>
          <w:rFonts w:ascii="Times New Roman" w:cs="Times New Roman" w:eastAsia="Times New Roman" w:hAnsi="Times New Roman"/>
          <w:sz w:val="19"/>
          <w:szCs w:val="19"/>
          <w:color w:val="auto"/>
        </w:rPr>
        <w:t>. If the Participant’s employment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terminated by the Company under Section 6(d) or 6(f) of the Employment Agreement or the Participant resigns and terminates the Participant’s employment under Section 6(d) or 6(f) of the Employment Agreement, then all unvested Shares of Restricted Stock shall vest immediately as of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3" w:name="page24"/>
    <w:bookmarkEnd w:id="23"/>
    <w:p>
      <w:pPr>
        <w:ind w:left="2260" w:hanging="754"/>
        <w:spacing w:after="0" w:line="256" w:lineRule="auto"/>
        <w:tabs>
          <w:tab w:leader="none" w:pos="1961"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Termination Due to Retirement. </w:t>
      </w:r>
      <w:r>
        <w:rPr>
          <w:rFonts w:ascii="Times New Roman" w:cs="Times New Roman" w:eastAsia="Times New Roman" w:hAnsi="Times New Roman"/>
          <w:sz w:val="20"/>
          <w:szCs w:val="20"/>
          <w:color w:val="auto"/>
        </w:rPr>
        <w:t>If the Participant’s employment with the Company terminates due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Participant’s Retirement, then all unvested Shares of Restricted Stock shall vest immediately as of the date of such termination.</w:t>
      </w:r>
    </w:p>
    <w:p>
      <w:pPr>
        <w:spacing w:after="0" w:line="168" w:lineRule="exact"/>
        <w:rPr>
          <w:rFonts w:ascii="Times New Roman" w:cs="Times New Roman" w:eastAsia="Times New Roman" w:hAnsi="Times New Roman"/>
          <w:sz w:val="20"/>
          <w:szCs w:val="20"/>
          <w:color w:val="auto"/>
        </w:rPr>
      </w:pPr>
    </w:p>
    <w:p>
      <w:pPr>
        <w:ind w:left="760" w:hanging="752"/>
        <w:spacing w:after="0" w:line="250" w:lineRule="auto"/>
        <w:tabs>
          <w:tab w:leader="none" w:pos="42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Non-Transferability</w:t>
      </w:r>
      <w:r>
        <w:rPr>
          <w:rFonts w:ascii="Times New Roman" w:cs="Times New Roman" w:eastAsia="Times New Roman" w:hAnsi="Times New Roman"/>
          <w:sz w:val="20"/>
          <w:szCs w:val="20"/>
          <w:color w:val="auto"/>
        </w:rPr>
        <w:t>: Unless and until a Share of Restricted Stock becomes vested as described in this Award Agreement, such 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not be sold, transferred, pledged, assigned or otherwise alienated or hypothecated, except by will or by the laws of descent and distribution and in accordance with Section 8(b) of this Award Agreement, and any purported sale, transfer, pledge, assignment, alienation or hypothecation shall be void and unenforceable against the Company or any Affiliate.</w:t>
      </w:r>
    </w:p>
    <w:p>
      <w:pPr>
        <w:spacing w:after="0" w:line="175" w:lineRule="exact"/>
        <w:rPr>
          <w:rFonts w:ascii="Times New Roman" w:cs="Times New Roman" w:eastAsia="Times New Roman" w:hAnsi="Times New Roman"/>
          <w:sz w:val="20"/>
          <w:szCs w:val="20"/>
          <w:color w:val="auto"/>
        </w:rPr>
      </w:pPr>
    </w:p>
    <w:p>
      <w:pPr>
        <w:ind w:left="760" w:hanging="752"/>
        <w:spacing w:after="0" w:line="256" w:lineRule="auto"/>
        <w:tabs>
          <w:tab w:leader="none" w:pos="42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Settlement</w:t>
      </w:r>
      <w:r>
        <w:rPr>
          <w:rFonts w:ascii="Times New Roman" w:cs="Times New Roman" w:eastAsia="Times New Roman" w:hAnsi="Times New Roman"/>
          <w:sz w:val="20"/>
          <w:szCs w:val="20"/>
          <w:color w:val="auto"/>
        </w:rPr>
        <w:t>: If the applicable terms and conditions of this Award Agreement are satisfied, vested Shares of Restricted Stock will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released from any transfer restrictions or delivered to the Participant as soon as administratively feasible after all applicable restrictions have lapsed.</w:t>
      </w:r>
    </w:p>
    <w:p>
      <w:pPr>
        <w:spacing w:after="0" w:line="168"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42" w:lineRule="auto"/>
        <w:tabs>
          <w:tab w:leader="none" w:pos="121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 Affiliate, as applicable, shall have the power and the right to deduct, withhold, or collect any amount required by law or regulation to be withheld with respect to any taxable event arising with respect to the Shares of Restricted Stock. To the extent permitted by the Committee, in its sole discretion, this amount may be: (i) withheld from other amounts due to the Participant; (ii) withheld from the value of any Shares transferred in connection with the vesting of the Restricted Stock; (iii) collected directly from the Participant; or (iv) withheld using any combination of the methods described in clauses (i), (ii), or (iii). Subject to the approval of the Committee, the Participant may elect to satisfy the withholding requirement, in whole or in part, by having the Company or an Affiliate, as applicable, withhold Shares having a Fair Market Value on the date the tax is to be determined equal to the statutory total tax that could be imposed on the transaction; provided that such Shares would otherwise be distributable to the Participant at the time of the withholding. All such elections will be irrevocable and made in writing and will be subject to any terms and conditions that the Committee, in its sole discretion, deems appropriate.</w:t>
      </w:r>
    </w:p>
    <w:p>
      <w:pPr>
        <w:spacing w:after="0" w:line="189" w:lineRule="exact"/>
        <w:rPr>
          <w:rFonts w:ascii="Times New Roman" w:cs="Times New Roman" w:eastAsia="Times New Roman" w:hAnsi="Times New Roman"/>
          <w:sz w:val="20"/>
          <w:szCs w:val="20"/>
          <w:color w:val="auto"/>
        </w:rPr>
      </w:pPr>
    </w:p>
    <w:p>
      <w:pPr>
        <w:ind w:left="1500" w:hanging="690"/>
        <w:spacing w:after="0" w:line="242" w:lineRule="auto"/>
        <w:tabs>
          <w:tab w:leader="none" w:pos="1201"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The Participant is hereby advised to consult with the Participant’s own personal tax, financial and/or legal advisors regarding the tax consequences of the Award. The Participant understands that the Participant may elect to file an election under Section 83(b) of the Code (a “Section 83(b) Election”) with the Internal Revenue Service with respect to the Shares of Restricted Stock. Neither the Company nor any of its Affiliates makes any recommendations with respect to the decision to make a Section 83(b) Election. It is solely the responsibility of the Participant to decide whether to make a Section 83(b) Election in connection with this Award Agreement and, if so, to do so in a timely manner. In the event the Participant makes a Section 83(b) Election, the Participant shall notify the Company of such election within ten days of filing notice of the election with the Internal Revenue Service or other applicable governmental authority, in addition to any filing and notification required pursuant to the Treasury Regulations issued under Section 83(b) of the Code or other applicable provision.</w:t>
      </w:r>
    </w:p>
    <w:p>
      <w:pPr>
        <w:spacing w:after="0" w:line="188"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Terms and Conditions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69" w:lineRule="auto"/>
        <w:tabs>
          <w:tab w:leader="none" w:pos="121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Before Vesting</w:t>
      </w:r>
      <w:r>
        <w:rPr>
          <w:rFonts w:ascii="Times New Roman" w:cs="Times New Roman" w:eastAsia="Times New Roman" w:hAnsi="Times New Roman"/>
          <w:sz w:val="20"/>
          <w:szCs w:val="20"/>
          <w:color w:val="auto"/>
        </w:rPr>
        <w:t>. Before Shares of Restricted Stock vest, the Participant: (i) shall be entitled to exercise full voting rights associated with such Shares of Restricted Stock;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 w:name="page25"/>
    <w:bookmarkEnd w:id="24"/>
    <w:p>
      <w:pPr>
        <w:jc w:val="both"/>
        <w:ind w:left="690"/>
        <w:spacing w:after="0" w:line="246" w:lineRule="auto"/>
        <w:rPr>
          <w:sz w:val="20"/>
          <w:szCs w:val="20"/>
          <w:color w:val="auto"/>
        </w:rPr>
      </w:pPr>
      <w:r>
        <w:rPr>
          <w:rFonts w:ascii="Times New Roman" w:cs="Times New Roman" w:eastAsia="Times New Roman" w:hAnsi="Times New Roman"/>
          <w:sz w:val="20"/>
          <w:szCs w:val="20"/>
          <w:color w:val="auto"/>
        </w:rPr>
        <w:t>(ii) shall be entitled to all dividends and other distributions paid with respect to such Shares of Restricted Stock during the restricted period (subject to any mandatory reinvestment or other requirements imposed by the Committee); provided, however, that any such dividends shall be subject to the same terms and conditions as the Shares of Restricted Stock with respect to which they are paid, and, in no event, will any such dividends be paid unless and until the Shares of Restricted Stock to which they relate has vested.</w:t>
      </w:r>
    </w:p>
    <w:p>
      <w:pPr>
        <w:spacing w:after="0" w:line="184" w:lineRule="exact"/>
        <w:rPr>
          <w:sz w:val="20"/>
          <w:szCs w:val="20"/>
          <w:color w:val="auto"/>
        </w:rPr>
      </w:pPr>
    </w:p>
    <w:p>
      <w:pPr>
        <w:ind w:left="690" w:hanging="690"/>
        <w:spacing w:after="0" w:line="244" w:lineRule="auto"/>
        <w:tabs>
          <w:tab w:leader="none" w:pos="4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 Designation</w:t>
      </w:r>
      <w:r>
        <w:rPr>
          <w:rFonts w:ascii="Times New Roman" w:cs="Times New Roman" w:eastAsia="Times New Roman" w:hAnsi="Times New Roman"/>
          <w:sz w:val="20"/>
          <w:szCs w:val="20"/>
          <w:color w:val="auto"/>
        </w:rPr>
        <w:t>. The Participant may designate a beneficiary or beneficiaries to receive Shares of Restricted Stock that are delivered after the Participant’s death by completing, and returning to the Company, a Beneficiary Designation Form provided by the Company. If the Participant dies without completing a Beneficiary Designation Form, if the Participant does not complete and submit the Beneficiary Designation Form correctly, or if the Participant’s beneficiary predeceases the Participant, the Participant’s beneficiary under this Award Agreement will be the Participant’s spouse or, if no spouse survives the Participant, the Participant’s estate. If a Participant designates more than one beneficiary, the rights of such beneficiaries shall be payable in equal shares, unless the Participant has designated otherwise.</w:t>
      </w:r>
    </w:p>
    <w:p>
      <w:pPr>
        <w:spacing w:after="0" w:line="185" w:lineRule="exact"/>
        <w:rPr>
          <w:rFonts w:ascii="Times New Roman" w:cs="Times New Roman" w:eastAsia="Times New Roman" w:hAnsi="Times New Roman"/>
          <w:sz w:val="20"/>
          <w:szCs w:val="20"/>
          <w:color w:val="auto"/>
        </w:rPr>
      </w:pPr>
    </w:p>
    <w:p>
      <w:pPr>
        <w:ind w:left="690" w:hanging="690"/>
        <w:spacing w:after="0" w:line="249" w:lineRule="auto"/>
        <w:tabs>
          <w:tab w:leader="none" w:pos="4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The granting of the Award shall impose no obligation on the Company or any Affiliate to continue the employment or other service of the Participant or interfere with or limit the authority of the Company or any Affiliate, as applicable, to terminate the employment or other service of the Participant at any time, which right is expressly reserved.</w:t>
      </w:r>
    </w:p>
    <w:p>
      <w:pPr>
        <w:spacing w:after="0" w:line="179" w:lineRule="exact"/>
        <w:rPr>
          <w:rFonts w:ascii="Times New Roman" w:cs="Times New Roman" w:eastAsia="Times New Roman" w:hAnsi="Times New Roman"/>
          <w:sz w:val="20"/>
          <w:szCs w:val="20"/>
          <w:color w:val="auto"/>
        </w:rPr>
      </w:pPr>
    </w:p>
    <w:p>
      <w:pPr>
        <w:ind w:left="690" w:hanging="690"/>
        <w:spacing w:after="0" w:line="249" w:lineRule="auto"/>
        <w:tabs>
          <w:tab w:leader="none" w:pos="4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This Award Agreement and the grant of Restricted Stock shall be subject to all applicable federal, state, and local laws, rules and regulations (including all applicable federal and state securities laws) and to all required approvals of any governmental agencies or stock exchange, market, or quotation system on which the Shares are then listed or traded.</w:t>
      </w:r>
    </w:p>
    <w:p>
      <w:pPr>
        <w:spacing w:after="0" w:line="179" w:lineRule="exact"/>
        <w:rPr>
          <w:rFonts w:ascii="Times New Roman" w:cs="Times New Roman" w:eastAsia="Times New Roman" w:hAnsi="Times New Roman"/>
          <w:sz w:val="20"/>
          <w:szCs w:val="20"/>
          <w:color w:val="auto"/>
        </w:rPr>
      </w:pPr>
    </w:p>
    <w:p>
      <w:pPr>
        <w:ind w:left="690" w:right="20" w:hanging="690"/>
        <w:spacing w:after="0" w:line="269" w:lineRule="auto"/>
        <w:tabs>
          <w:tab w:leader="none" w:pos="4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Agreement shall be governed by and construed in accordance with the laws of the State of Wisconsin, without regard to its conflicts of law provisions.</w:t>
      </w:r>
    </w:p>
    <w:p>
      <w:pPr>
        <w:spacing w:after="0" w:line="159" w:lineRule="exact"/>
        <w:rPr>
          <w:rFonts w:ascii="Times New Roman" w:cs="Times New Roman" w:eastAsia="Times New Roman" w:hAnsi="Times New Roman"/>
          <w:sz w:val="20"/>
          <w:szCs w:val="20"/>
          <w:color w:val="auto"/>
        </w:rPr>
      </w:pPr>
    </w:p>
    <w:p>
      <w:pPr>
        <w:ind w:left="690" w:hanging="690"/>
        <w:spacing w:after="0" w:line="243" w:lineRule="auto"/>
        <w:tabs>
          <w:tab w:leader="none" w:pos="43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Award Subject to Plan</w:t>
      </w:r>
      <w:r>
        <w:rPr>
          <w:rFonts w:ascii="Times New Roman" w:cs="Times New Roman" w:eastAsia="Times New Roman" w:hAnsi="Times New Roman"/>
          <w:sz w:val="20"/>
          <w:szCs w:val="20"/>
          <w:color w:val="auto"/>
        </w:rPr>
        <w:t>. Except as otherwise described in this Section 8(f), this Award Agreement constitutes the entire agreement between the parties, and supersedes all prior agreements and understandings, relating to the subject matter of this Award Agreement. The Shares of Restricted Stock are subject in all cases to the terms and conditions set forth in this Award Agreement and the Plan, which are incorporated into and made a part of this Award Agreement. In the event of a conflict between the terms of the Plan and the terms of this Award Agreement, the terms of the Plan will govern. Notwithstanding the foregoing, in the event of a conflict between the terms of Section 4(c)(i), 6(a), 6(b) or 6(f)(i)(D) of the Employment Agreement and the terms of this Award Agreement with respect to the vesting of the Award on termination of employment, the terms of the Employment Agreement will govern.</w:t>
      </w:r>
    </w:p>
    <w:p>
      <w:pPr>
        <w:spacing w:after="0" w:line="189" w:lineRule="exact"/>
        <w:rPr>
          <w:rFonts w:ascii="Times New Roman" w:cs="Times New Roman" w:eastAsia="Times New Roman" w:hAnsi="Times New Roman"/>
          <w:sz w:val="20"/>
          <w:szCs w:val="20"/>
          <w:color w:val="auto"/>
        </w:rPr>
      </w:pPr>
    </w:p>
    <w:p>
      <w:pPr>
        <w:ind w:left="690" w:hanging="690"/>
        <w:spacing w:after="0" w:line="249" w:lineRule="auto"/>
        <w:tabs>
          <w:tab w:leader="none" w:pos="4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provisions of this Award Agreement shall not affect the validity or enforceability of any other provision of this Award Agreement, and each other provision of this Award Agreement shall be severable and enforceable to the extent permitted by law. The provisions of this Award Agreement shall inure to the benefit of, and be binding upon, the Company and its successors and assigns</w:t>
      </w:r>
    </w:p>
    <w:p>
      <w:pPr>
        <w:spacing w:after="0" w:line="200" w:lineRule="exact"/>
        <w:rPr>
          <w:sz w:val="20"/>
          <w:szCs w:val="20"/>
          <w:color w:val="auto"/>
        </w:rPr>
      </w:pPr>
    </w:p>
    <w:p>
      <w:pPr>
        <w:spacing w:after="0" w:line="380"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478155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13" w:right="339" w:bottom="1440" w:gutter="0" w:footer="0" w:header="0"/>
        </w:sectPr>
      </w:pPr>
    </w:p>
    <w:bookmarkStart w:id="25" w:name="page26"/>
    <w:bookmarkEnd w:id="25"/>
    <w:p>
      <w:pPr>
        <w:ind w:left="690"/>
        <w:spacing w:after="0"/>
        <w:rPr>
          <w:sz w:val="20"/>
          <w:szCs w:val="20"/>
          <w:color w:val="auto"/>
        </w:rPr>
      </w:pPr>
      <w:r>
        <w:rPr>
          <w:rFonts w:ascii="Times New Roman" w:cs="Times New Roman" w:eastAsia="Times New Roman" w:hAnsi="Times New Roman"/>
          <w:sz w:val="20"/>
          <w:szCs w:val="20"/>
          <w:color w:val="auto"/>
        </w:rPr>
        <w:t>and the Participant and the Participant’s legal representatives, heirs, legatees, distributes, assigns and transferees.</w:t>
      </w:r>
    </w:p>
    <w:p>
      <w:pPr>
        <w:spacing w:after="0" w:line="216" w:lineRule="exact"/>
        <w:rPr>
          <w:sz w:val="20"/>
          <w:szCs w:val="20"/>
          <w:color w:val="auto"/>
        </w:rPr>
      </w:pPr>
    </w:p>
    <w:p>
      <w:pPr>
        <w:ind w:left="390" w:hanging="390"/>
        <w:spacing w:after="0"/>
        <w:tabs>
          <w:tab w:leader="none" w:pos="39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Award Agreement may be amended or terminated in accordance with Article XV of the Plan.</w:t>
      </w:r>
    </w:p>
    <w:p>
      <w:pPr>
        <w:spacing w:after="0" w:line="215" w:lineRule="exact"/>
        <w:rPr>
          <w:rFonts w:ascii="Times New Roman" w:cs="Times New Roman" w:eastAsia="Times New Roman" w:hAnsi="Times New Roman"/>
          <w:sz w:val="20"/>
          <w:szCs w:val="20"/>
          <w:color w:val="auto"/>
        </w:rPr>
      </w:pPr>
    </w:p>
    <w:p>
      <w:pPr>
        <w:ind w:left="690" w:hanging="690"/>
        <w:spacing w:after="0" w:line="269" w:lineRule="auto"/>
        <w:tabs>
          <w:tab w:leader="none" w:pos="41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Signature in Counterparts</w:t>
      </w:r>
      <w:r>
        <w:rPr>
          <w:rFonts w:ascii="Times New Roman" w:cs="Times New Roman" w:eastAsia="Times New Roman" w:hAnsi="Times New Roman"/>
          <w:sz w:val="20"/>
          <w:szCs w:val="20"/>
          <w:color w:val="auto"/>
        </w:rPr>
        <w:t>. This Award Agreement may be executed in counterparts, each of which will be deemed an original, but all of which will constitute one and the same instrument.</w:t>
      </w:r>
    </w:p>
    <w:p>
      <w:pPr>
        <w:spacing w:after="0" w:line="155" w:lineRule="exact"/>
        <w:rPr>
          <w:sz w:val="20"/>
          <w:szCs w:val="20"/>
          <w:color w:val="auto"/>
        </w:rPr>
      </w:pPr>
    </w:p>
    <w:p>
      <w:pPr>
        <w:ind w:left="3030"/>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478155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10"/>
          </w:cols>
          <w:pgMar w:left="1130" w:top="1413" w:right="35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Award Agreement as of the Grant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5500" w:type="dxa"/>
            <w:vAlign w:val="bottom"/>
            <w:gridSpan w:val="3"/>
          </w:tcPr>
          <w:p>
            <w:pPr>
              <w:ind w:left="1800"/>
              <w:spacing w:after="0"/>
              <w:rPr>
                <w:sz w:val="20"/>
                <w:szCs w:val="20"/>
                <w:color w:val="auto"/>
              </w:rPr>
            </w:pPr>
            <w:r>
              <w:rPr>
                <w:rFonts w:ascii="Times New Roman" w:cs="Times New Roman" w:eastAsia="Times New Roman" w:hAnsi="Times New Roman"/>
                <w:sz w:val="20"/>
                <w:szCs w:val="20"/>
                <w:b w:val="1"/>
                <w:bCs w:val="1"/>
                <w:color w:val="auto"/>
                <w:w w:val="98"/>
              </w:rPr>
              <w:t>STRATTEC SECURITY CORPORATION</w:t>
            </w:r>
          </w:p>
        </w:tc>
      </w:tr>
      <w:tr>
        <w:trPr>
          <w:trHeight w:val="642"/>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Matthew P. Pauli</w:t>
            </w:r>
          </w:p>
        </w:tc>
        <w:tc>
          <w:tcPr>
            <w:tcW w:w="5500" w:type="dxa"/>
            <w:vAlign w:val="bottom"/>
            <w:gridSpan w:val="3"/>
          </w:tcPr>
          <w:p>
            <w:pPr>
              <w:ind w:left="1800"/>
              <w:spacing w:after="0"/>
              <w:rPr>
                <w:sz w:val="20"/>
                <w:szCs w:val="20"/>
                <w:color w:val="auto"/>
              </w:rPr>
            </w:pPr>
            <w:r>
              <w:rPr>
                <w:rFonts w:ascii="Times New Roman" w:cs="Times New Roman" w:eastAsia="Times New Roman" w:hAnsi="Times New Roman"/>
                <w:sz w:val="20"/>
                <w:szCs w:val="20"/>
                <w:color w:val="auto"/>
              </w:rPr>
              <w:t>By: /s/ Jennifer L. Slater</w:t>
            </w:r>
          </w:p>
        </w:tc>
      </w:tr>
      <w:tr>
        <w:trPr>
          <w:trHeight w:val="227"/>
        </w:trPr>
        <w:tc>
          <w:tcPr>
            <w:tcW w:w="1600" w:type="dxa"/>
            <w:vAlign w:val="bottom"/>
            <w:tcBorders>
              <w:top w:val="single" w:sz="8" w:color="auto"/>
            </w:tcBorders>
          </w:tcPr>
          <w:p>
            <w:pPr>
              <w:ind w:left="160"/>
              <w:spacing w:after="0" w:line="228" w:lineRule="exact"/>
              <w:rPr>
                <w:sz w:val="20"/>
                <w:szCs w:val="20"/>
                <w:color w:val="auto"/>
              </w:rPr>
            </w:pPr>
            <w:r>
              <w:rPr>
                <w:rFonts w:ascii="Times New Roman" w:cs="Times New Roman" w:eastAsia="Times New Roman" w:hAnsi="Times New Roman"/>
                <w:sz w:val="20"/>
                <w:szCs w:val="20"/>
                <w:color w:val="auto"/>
              </w:rPr>
              <w:t>Matthew P. Pauli</w:t>
            </w:r>
          </w:p>
        </w:tc>
        <w:tc>
          <w:tcPr>
            <w:tcW w:w="2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0" w:type="dxa"/>
            <w:vAlign w:val="bottom"/>
            <w:tcBorders>
              <w:top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Jennifer L. Slater</w:t>
            </w:r>
          </w:p>
        </w:tc>
        <w:tc>
          <w:tcPr>
            <w:tcW w:w="1760" w:type="dxa"/>
            <w:vAlign w:val="bottom"/>
          </w:tcPr>
          <w:p>
            <w:pPr>
              <w:spacing w:after="0"/>
              <w:rPr>
                <w:sz w:val="19"/>
                <w:szCs w:val="19"/>
                <w:color w:val="auto"/>
              </w:rPr>
            </w:pPr>
          </w:p>
        </w:tc>
      </w:tr>
      <w:tr>
        <w:trPr>
          <w:trHeight w:val="258"/>
        </w:trPr>
        <w:tc>
          <w:tcPr>
            <w:tcW w:w="38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Chief Financial Officer</w:t>
            </w:r>
          </w:p>
        </w:tc>
        <w:tc>
          <w:tcPr>
            <w:tcW w:w="2140" w:type="dxa"/>
            <w:vAlign w:val="bottom"/>
          </w:tcPr>
          <w:p>
            <w:pPr>
              <w:spacing w:after="0"/>
              <w:rPr>
                <w:sz w:val="22"/>
                <w:szCs w:val="22"/>
                <w:color w:val="auto"/>
              </w:rPr>
            </w:pP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13"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2024 EQUITY INCENTIVE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AWARD AGREEMENT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STRATTEC Security Corporation (the “Company”) hereby grants the undersigned Participant an award of Shares of Restricted Stock, subject to the terms and conditions described in the STRATTEC Security Corporation 2024 Equity Incentive Plan, effective as of October 25, 2024 and as amended from time to time (the “Plan”), and this Restricted Stock Award Agreement (this “Award Agreement”). Capitalized terms that are not defined in this Award Agreement shall have the same meaning as in the Plan.</w:t>
      </w:r>
    </w:p>
    <w:p>
      <w:pPr>
        <w:spacing w:after="0" w:line="176"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Name of Participant</w:t>
      </w:r>
      <w:r>
        <w:rPr>
          <w:rFonts w:ascii="Times New Roman" w:cs="Times New Roman" w:eastAsia="Times New Roman" w:hAnsi="Times New Roman"/>
          <w:sz w:val="20"/>
          <w:szCs w:val="20"/>
          <w:color w:val="auto"/>
        </w:rPr>
        <w:t>: _____ (the “Participant”)</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Grant Date</w:t>
      </w:r>
      <w:r>
        <w:rPr>
          <w:rFonts w:ascii="Times New Roman" w:cs="Times New Roman" w:eastAsia="Times New Roman" w:hAnsi="Times New Roman"/>
          <w:sz w:val="20"/>
          <w:szCs w:val="20"/>
          <w:color w:val="auto"/>
        </w:rPr>
        <w:t>: October 25, 2024 (the “Grant Date”)</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Number of Shares of Restricted Stock</w:t>
      </w:r>
      <w:r>
        <w:rPr>
          <w:rFonts w:ascii="Times New Roman" w:cs="Times New Roman" w:eastAsia="Times New Roman" w:hAnsi="Times New Roman"/>
          <w:sz w:val="20"/>
          <w:szCs w:val="20"/>
          <w:color w:val="auto"/>
        </w:rPr>
        <w:t>: 2,207 Shares (“Restricted Stock”)</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Vesting and Forfeiture of Restricted Stock</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49" w:lineRule="auto"/>
        <w:tabs>
          <w:tab w:leader="none" w:pos="121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Vesting</w:t>
      </w:r>
      <w:r>
        <w:rPr>
          <w:rFonts w:ascii="Times New Roman" w:cs="Times New Roman" w:eastAsia="Times New Roman" w:hAnsi="Times New Roman"/>
          <w:sz w:val="20"/>
          <w:szCs w:val="20"/>
          <w:color w:val="auto"/>
        </w:rPr>
        <w:t>. Subject to the forfeiture provisions in Section 4(b) of this Award Agreement and the accelerated vesting provisions in Section 4(c) of this Award Agreement, and subject to the Participant’s continued service as a member of the Board (a “Director”) through the later of (i) the 2025 annual meeting of stockholders of the Company or (ii) 50 weeks following the Grant Date (such date, the “Vesting Date”), all Shares of Restricted Stock shall vest on the Vesting Date.</w:t>
      </w:r>
    </w:p>
    <w:p>
      <w:pPr>
        <w:spacing w:after="0" w:line="179" w:lineRule="exact"/>
        <w:rPr>
          <w:rFonts w:ascii="Times New Roman" w:cs="Times New Roman" w:eastAsia="Times New Roman" w:hAnsi="Times New Roman"/>
          <w:sz w:val="20"/>
          <w:szCs w:val="20"/>
          <w:color w:val="auto"/>
        </w:rPr>
      </w:pPr>
    </w:p>
    <w:p>
      <w:pPr>
        <w:ind w:left="1500" w:hanging="690"/>
        <w:spacing w:after="0" w:line="254" w:lineRule="auto"/>
        <w:tabs>
          <w:tab w:leader="none" w:pos="121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Rights</w:t>
      </w:r>
      <w:r>
        <w:rPr>
          <w:rFonts w:ascii="Times New Roman" w:cs="Times New Roman" w:eastAsia="Times New Roman" w:hAnsi="Times New Roman"/>
          <w:sz w:val="20"/>
          <w:szCs w:val="20"/>
          <w:color w:val="auto"/>
        </w:rPr>
        <w:t>. Any unvested Shares of Restricted Stock shall immediately be forfeited if, prior to the Vesting Date, the Participant’s service as a Director terminates for any reason, other than as described in Section 4(c) of this Award Agreement.</w:t>
      </w:r>
    </w:p>
    <w:p>
      <w:pPr>
        <w:spacing w:after="0" w:line="174"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anything herein to the contrary:</w:t>
      </w:r>
    </w:p>
    <w:p>
      <w:pPr>
        <w:spacing w:after="0" w:line="212" w:lineRule="exact"/>
        <w:rPr>
          <w:sz w:val="20"/>
          <w:szCs w:val="20"/>
          <w:color w:val="auto"/>
        </w:rPr>
      </w:pPr>
    </w:p>
    <w:p>
      <w:pPr>
        <w:ind w:left="2260" w:hanging="754"/>
        <w:spacing w:after="0" w:line="256" w:lineRule="auto"/>
        <w:tabs>
          <w:tab w:leader="none" w:pos="193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Due to Death or Disability</w:t>
      </w:r>
      <w:r>
        <w:rPr>
          <w:rFonts w:ascii="Times New Roman" w:cs="Times New Roman" w:eastAsia="Times New Roman" w:hAnsi="Times New Roman"/>
          <w:sz w:val="20"/>
          <w:szCs w:val="20"/>
          <w:color w:val="auto"/>
        </w:rPr>
        <w:t>. If the Participant’s service as a Director terminates as a result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Participant’s death or the Participant’s Disability, then all unvested Shares of Restricted Stock shall vest immediately as of the date of such termination.</w:t>
      </w:r>
    </w:p>
    <w:p>
      <w:pPr>
        <w:spacing w:after="0" w:line="169" w:lineRule="exact"/>
        <w:rPr>
          <w:sz w:val="20"/>
          <w:szCs w:val="20"/>
          <w:color w:val="auto"/>
        </w:rPr>
      </w:pPr>
    </w:p>
    <w:p>
      <w:pPr>
        <w:ind w:left="2260" w:hanging="754"/>
        <w:spacing w:after="0" w:line="250" w:lineRule="auto"/>
        <w:tabs>
          <w:tab w:leader="none" w:pos="1907"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Termination in Connection with a Change of Control. </w:t>
      </w:r>
      <w:r>
        <w:rPr>
          <w:rFonts w:ascii="Times New Roman" w:cs="Times New Roman" w:eastAsia="Times New Roman" w:hAnsi="Times New Roman"/>
          <w:sz w:val="20"/>
          <w:szCs w:val="20"/>
          <w:color w:val="auto"/>
        </w:rPr>
        <w:t>If, within three months prior to or within 24 months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Change of Control, the Participant’s service as a Director is discontinued for reasons other than a voluntary resignation, then all unvested Shares of Restricted Stock shall vest immediately as of the later of (A) the date of such Change of Control or (B) the date of such termination.</w:t>
      </w:r>
    </w:p>
    <w:p>
      <w:pPr>
        <w:spacing w:after="0" w:line="175" w:lineRule="exact"/>
        <w:rPr>
          <w:rFonts w:ascii="Times New Roman" w:cs="Times New Roman" w:eastAsia="Times New Roman" w:hAnsi="Times New Roman"/>
          <w:sz w:val="20"/>
          <w:szCs w:val="20"/>
          <w:color w:val="auto"/>
        </w:rPr>
      </w:pPr>
    </w:p>
    <w:p>
      <w:pPr>
        <w:ind w:left="760" w:hanging="752"/>
        <w:spacing w:after="0" w:line="256" w:lineRule="auto"/>
        <w:tabs>
          <w:tab w:leader="none" w:pos="42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Non-Transferability</w:t>
      </w:r>
      <w:r>
        <w:rPr>
          <w:rFonts w:ascii="Times New Roman" w:cs="Times New Roman" w:eastAsia="Times New Roman" w:hAnsi="Times New Roman"/>
          <w:sz w:val="20"/>
          <w:szCs w:val="20"/>
          <w:color w:val="auto"/>
        </w:rPr>
        <w:t>: Unless and until a Share of Restricted Stock becomes vested as described in this Award Agreement, such 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not be sold, transferred, pledged, assigned or otherwise alienated or hypothecated, except by will or by the laws of descent and distribution and in accordance with Section 8(b) of this Award Agreement, and any purported sale, transfer, pledge,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20"/>
          <w:szCs w:val="20"/>
          <w:color w:val="auto"/>
        </w:rPr>
        <w:t>assignment, alienation or hypothecation shall be void and unenforceable against the Company or any Affiliate.</w:t>
      </w:r>
    </w:p>
    <w:p>
      <w:pPr>
        <w:spacing w:after="0" w:line="212" w:lineRule="exact"/>
        <w:rPr>
          <w:sz w:val="20"/>
          <w:szCs w:val="20"/>
          <w:color w:val="auto"/>
        </w:rPr>
      </w:pPr>
    </w:p>
    <w:p>
      <w:pPr>
        <w:ind w:left="760" w:hanging="752"/>
        <w:spacing w:after="0" w:line="256" w:lineRule="auto"/>
        <w:tabs>
          <w:tab w:leader="none" w:pos="42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Settlement</w:t>
      </w:r>
      <w:r>
        <w:rPr>
          <w:rFonts w:ascii="Times New Roman" w:cs="Times New Roman" w:eastAsia="Times New Roman" w:hAnsi="Times New Roman"/>
          <w:sz w:val="20"/>
          <w:szCs w:val="20"/>
          <w:color w:val="auto"/>
        </w:rPr>
        <w:t>: If the applicable terms and conditions of this Award Agreement are satisfied, vested Shares of Restricted Stock will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released from any transfer restrictions or delivered to the Participant as soon as administratively feasible after all applicable restrictions have lapsed.</w:t>
      </w:r>
    </w:p>
    <w:p>
      <w:pPr>
        <w:spacing w:after="0" w:line="168"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42" w:lineRule="auto"/>
        <w:tabs>
          <w:tab w:leader="none" w:pos="1214"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 Affiliate, as applicable, shall have the power and the right to deduct, withhold, or collect any amount required by law or regulation to be withheld with respect to any taxable event arising with respect to the Shares of Restricted Stock. To the extent permitted by the Committee, in its sole discretion, this amount may be: (i) withheld from other amounts due to the Participant; (ii) withheld from the value of any Shares transferred in connection with the vesting of the Restricted Stock; (iii) collected directly from the Participant; or (iv) withheld using any combination of the methods described in clauses (i), (ii), or (iii). Subject to the approval of the Committee, the Participant may elect to satisfy the withholding requirement, in whole or in part, by having the Company or an Affiliate, as applicable, withhold Shares having a Fair Market Value on the date the tax is to be determined equal to the statutory total tax that could be imposed on the transaction; provided that such Shares would otherwise be distributable to the Participant at the time of the withholding. All such elections will be irrevocable and made in writing and will be subject to any terms and conditions that the Committee, in its sole discretion, deems appropriate.</w:t>
      </w:r>
    </w:p>
    <w:p>
      <w:pPr>
        <w:spacing w:after="0" w:line="189" w:lineRule="exact"/>
        <w:rPr>
          <w:rFonts w:ascii="Times New Roman" w:cs="Times New Roman" w:eastAsia="Times New Roman" w:hAnsi="Times New Roman"/>
          <w:sz w:val="20"/>
          <w:szCs w:val="20"/>
          <w:color w:val="auto"/>
        </w:rPr>
      </w:pPr>
    </w:p>
    <w:p>
      <w:pPr>
        <w:ind w:left="1500" w:hanging="690"/>
        <w:spacing w:after="0" w:line="242" w:lineRule="auto"/>
        <w:tabs>
          <w:tab w:leader="none" w:pos="1201"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The Participant is hereby advised to consult with the Participant’s own personal tax, financial and/or legal advisors regarding the tax consequences of the Award. The Participant understands that the Participant may elect to file an election under Section 83(b) of the Code (a “Section 83(b) Election”) with the Internal Revenue Service with respect to the Shares of Restricted Stock. Neither the Company nor any of its Affiliates makes any recommendations with respect to the decision to make a Section 83(b) Election. It is solely the responsibility of the Participant to decide whether to make a Section 83(b) Election in connection with this Award Agreement and, if so, to do so in a timely manner. In the event the Participant makes a Section 83(b) Election, the Participant shall notify the Company of such election within ten days of filing notice of the election with the Internal Revenue Service or other applicable governmental authority, in addition to any filing and notification required pursuant to the Treasury Regulations issued under Section 83(b) of the Code or other applicable provision.</w:t>
      </w:r>
    </w:p>
    <w:p>
      <w:pPr>
        <w:spacing w:after="0" w:line="188"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Terms and Conditions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45" w:lineRule="auto"/>
        <w:tabs>
          <w:tab w:leader="none" w:pos="1214"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Before Vesting</w:t>
      </w:r>
      <w:r>
        <w:rPr>
          <w:rFonts w:ascii="Times New Roman" w:cs="Times New Roman" w:eastAsia="Times New Roman" w:hAnsi="Times New Roman"/>
          <w:sz w:val="20"/>
          <w:szCs w:val="20"/>
          <w:color w:val="auto"/>
        </w:rPr>
        <w:t>. Before Shares of Restricted Stock vest, the Participant: (i) shall be entitled to exercise full voting rights associated with such Shares of Restricted Stock; and (ii) shall be entitled to all dividends and other distributions paid with respect to such Shares of Restricted Stock during the restricted period (subject to any mandatory reinvestment or other requirements imposed by the Committee); provided, however, that any such dividends shall be subject to the same terms and conditions as the Shares of Restricted Stock with respect to which they are paid, and, in no event, will any such dividends be paid unless and until the Shares of Restricted Stock to which they relate has vested.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ind w:left="690" w:hanging="690"/>
        <w:spacing w:after="0" w:line="244" w:lineRule="auto"/>
        <w:tabs>
          <w:tab w:leader="none" w:pos="4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 Designation</w:t>
      </w:r>
      <w:r>
        <w:rPr>
          <w:rFonts w:ascii="Times New Roman" w:cs="Times New Roman" w:eastAsia="Times New Roman" w:hAnsi="Times New Roman"/>
          <w:sz w:val="20"/>
          <w:szCs w:val="20"/>
          <w:color w:val="auto"/>
        </w:rPr>
        <w:t>. The Participant may designate a beneficiary or beneficiaries to receive Shares of Restricted Stock that are delivered after the Participant’s death by completing, and returning to the Company, a Beneficiary Designation Form provided by the Company. If the Participant dies without completing a Beneficiary Designation Form, if the Participant does not complete and submit the Beneficiary Designation Form correctly, or if the Participant’s beneficiary predeceases the Participant, the Participant’s beneficiary under this Award Agreement will be the Participant’s spouse or, if no spouse survives the Participant, the Participant’s estate. If a Participant designates more than one beneficiary, the rights of such beneficiaries shall be payable in equal shares, unless the Participant has designated otherwise.</w:t>
      </w:r>
    </w:p>
    <w:p>
      <w:pPr>
        <w:spacing w:after="0" w:line="185" w:lineRule="exact"/>
        <w:rPr>
          <w:rFonts w:ascii="Times New Roman" w:cs="Times New Roman" w:eastAsia="Times New Roman" w:hAnsi="Times New Roman"/>
          <w:sz w:val="20"/>
          <w:szCs w:val="20"/>
          <w:color w:val="auto"/>
        </w:rPr>
      </w:pPr>
    </w:p>
    <w:p>
      <w:pPr>
        <w:ind w:left="690" w:hanging="690"/>
        <w:spacing w:after="0" w:line="254" w:lineRule="auto"/>
        <w:tabs>
          <w:tab w:leader="none" w:pos="4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The granting of the Award shall impose no obligation on the Company or any Affiliate to continue the service of the Participant or interfere with or limit the authority of the Company or any Affiliate, as applicable, to terminate the service of the Participant at any time, which right is expressly reserved.</w:t>
      </w:r>
    </w:p>
    <w:p>
      <w:pPr>
        <w:spacing w:after="0" w:line="174" w:lineRule="exact"/>
        <w:rPr>
          <w:rFonts w:ascii="Times New Roman" w:cs="Times New Roman" w:eastAsia="Times New Roman" w:hAnsi="Times New Roman"/>
          <w:sz w:val="20"/>
          <w:szCs w:val="20"/>
          <w:color w:val="auto"/>
        </w:rPr>
      </w:pPr>
    </w:p>
    <w:p>
      <w:pPr>
        <w:ind w:left="690" w:hanging="690"/>
        <w:spacing w:after="0" w:line="249" w:lineRule="auto"/>
        <w:tabs>
          <w:tab w:leader="none" w:pos="4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This Award Agreement and the grant of Restricted Stock shall be subject to all applicable federal, state, and local laws, rules and regulations (including all applicable federal and state securities laws) and to all required approvals of any governmental agencies or stock exchange, market, or quotation system on which the Shares are then listed or traded.</w:t>
      </w:r>
    </w:p>
    <w:p>
      <w:pPr>
        <w:spacing w:after="0" w:line="179" w:lineRule="exact"/>
        <w:rPr>
          <w:rFonts w:ascii="Times New Roman" w:cs="Times New Roman" w:eastAsia="Times New Roman" w:hAnsi="Times New Roman"/>
          <w:sz w:val="20"/>
          <w:szCs w:val="20"/>
          <w:color w:val="auto"/>
        </w:rPr>
      </w:pPr>
    </w:p>
    <w:p>
      <w:pPr>
        <w:ind w:left="690" w:right="20" w:hanging="690"/>
        <w:spacing w:after="0" w:line="269" w:lineRule="auto"/>
        <w:tabs>
          <w:tab w:leader="none" w:pos="4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Agreement shall be governed by and construed in accordance with the laws of the State of Wisconsin, without regard to its conflicts of law provisions.</w:t>
      </w:r>
    </w:p>
    <w:p>
      <w:pPr>
        <w:spacing w:after="0" w:line="159" w:lineRule="exact"/>
        <w:rPr>
          <w:rFonts w:ascii="Times New Roman" w:cs="Times New Roman" w:eastAsia="Times New Roman" w:hAnsi="Times New Roman"/>
          <w:sz w:val="20"/>
          <w:szCs w:val="20"/>
          <w:color w:val="auto"/>
        </w:rPr>
      </w:pPr>
    </w:p>
    <w:p>
      <w:pPr>
        <w:ind w:left="690" w:hanging="690"/>
        <w:spacing w:after="0" w:line="245" w:lineRule="auto"/>
        <w:tabs>
          <w:tab w:leader="none" w:pos="43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Award Subject to Plan</w:t>
      </w:r>
      <w:r>
        <w:rPr>
          <w:rFonts w:ascii="Times New Roman" w:cs="Times New Roman" w:eastAsia="Times New Roman" w:hAnsi="Times New Roman"/>
          <w:sz w:val="20"/>
          <w:szCs w:val="20"/>
          <w:color w:val="auto"/>
        </w:rPr>
        <w:t>. Except as otherwise described in this Section 8(f), this Award Agreement constitutes the entire agreement between the parties, and supersedes all prior agreements and understandings, relating to the subject matter of this Award Agreement. The Shares of Restricted Stock are subject in all cases to the terms and conditions set forth in this Award Agreement and the Plan, which are incorporated into and made a part of this Award Agreement. In the event of a conflict between the terms of the Plan and the terms of this Award Agreement, the terms of the Plan will govern.</w:t>
      </w:r>
    </w:p>
    <w:p>
      <w:pPr>
        <w:spacing w:after="0" w:line="184" w:lineRule="exact"/>
        <w:rPr>
          <w:rFonts w:ascii="Times New Roman" w:cs="Times New Roman" w:eastAsia="Times New Roman" w:hAnsi="Times New Roman"/>
          <w:sz w:val="20"/>
          <w:szCs w:val="20"/>
          <w:color w:val="auto"/>
        </w:rPr>
      </w:pPr>
    </w:p>
    <w:p>
      <w:pPr>
        <w:ind w:left="690" w:hanging="690"/>
        <w:spacing w:after="0" w:line="246" w:lineRule="auto"/>
        <w:tabs>
          <w:tab w:leader="none" w:pos="4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provisions of this Award Agreement shall not affect the validity or enforceability of any other provision of this Award Agreement, and each other provision of this Award Agreement shall be severable and enforceable to the extent permitted by law. The provisions of this Award Agreement shall inure to the benefit of, and be binding upon, the Company and its successors and assigns and the Participant and the Participant’s legal representatives, heirs, legatees, distributes, assigns and transferees.</w:t>
      </w:r>
    </w:p>
    <w:p>
      <w:pPr>
        <w:spacing w:after="0" w:line="184" w:lineRule="exact"/>
        <w:rPr>
          <w:rFonts w:ascii="Times New Roman" w:cs="Times New Roman" w:eastAsia="Times New Roman" w:hAnsi="Times New Roman"/>
          <w:sz w:val="20"/>
          <w:szCs w:val="20"/>
          <w:color w:val="auto"/>
        </w:rPr>
      </w:pPr>
    </w:p>
    <w:p>
      <w:pPr>
        <w:ind w:left="390" w:hanging="390"/>
        <w:spacing w:after="0"/>
        <w:tabs>
          <w:tab w:leader="none" w:pos="39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Award Agreement may be amended or terminated in accordance with Article XV of the Plan.</w:t>
      </w:r>
    </w:p>
    <w:p>
      <w:pPr>
        <w:spacing w:after="0" w:line="215" w:lineRule="exact"/>
        <w:rPr>
          <w:rFonts w:ascii="Times New Roman" w:cs="Times New Roman" w:eastAsia="Times New Roman" w:hAnsi="Times New Roman"/>
          <w:sz w:val="20"/>
          <w:szCs w:val="20"/>
          <w:color w:val="auto"/>
        </w:rPr>
      </w:pPr>
    </w:p>
    <w:p>
      <w:pPr>
        <w:ind w:left="690" w:right="20" w:hanging="690"/>
        <w:spacing w:after="0" w:line="269" w:lineRule="auto"/>
        <w:tabs>
          <w:tab w:leader="none" w:pos="41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Signature in Counterparts</w:t>
      </w:r>
      <w:r>
        <w:rPr>
          <w:rFonts w:ascii="Times New Roman" w:cs="Times New Roman" w:eastAsia="Times New Roman" w:hAnsi="Times New Roman"/>
          <w:sz w:val="20"/>
          <w:szCs w:val="20"/>
          <w:color w:val="auto"/>
        </w:rPr>
        <w:t>. This Award Agreement may be executed in counterparts, each of which will be deemed an original, but all of which will constitute one and the same instrument.</w:t>
      </w:r>
    </w:p>
    <w:p>
      <w:pPr>
        <w:spacing w:after="0" w:line="155" w:lineRule="exact"/>
        <w:rPr>
          <w:sz w:val="20"/>
          <w:szCs w:val="20"/>
          <w:color w:val="auto"/>
        </w:rPr>
      </w:pPr>
    </w:p>
    <w:p>
      <w:pPr>
        <w:ind w:left="3030"/>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478155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13"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Award Agreement as of the Grant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6020" w:type="dxa"/>
            <w:vAlign w:val="bottom"/>
          </w:tcPr>
          <w:p>
            <w:pPr>
              <w:ind w:left="2120"/>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tc>
        <w:tc>
          <w:tcPr>
            <w:tcW w:w="0" w:type="dxa"/>
            <w:vAlign w:val="bottom"/>
          </w:tcPr>
          <w:p>
            <w:pPr>
              <w:spacing w:after="0"/>
              <w:rPr>
                <w:sz w:val="1"/>
                <w:szCs w:val="1"/>
                <w:color w:val="auto"/>
              </w:rPr>
            </w:pPr>
          </w:p>
        </w:tc>
      </w:tr>
      <w:tr>
        <w:trPr>
          <w:trHeight w:val="688"/>
        </w:trPr>
        <w:tc>
          <w:tcPr>
            <w:tcW w:w="3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Signature</w:t>
            </w:r>
          </w:p>
        </w:tc>
        <w:tc>
          <w:tcPr>
            <w:tcW w:w="602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6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602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9"/>
              </w:rPr>
              <w:t>Title: __________________________________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13"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2024 EQUITY INCENTIVE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AWARD AGREEMENT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STRATTEC Security Corporation (the “Company”) hereby grants the undersigned Participant an award of Shares, subject to the terms and conditions described in the STRATTEC Security Corporation 2024 Equity Incentive Plan, effective as of October 25, 2024 and as amended from time to time (the “Plan”), and this Stock Award Agreement (this “Award Agreement”). Capitalized terms that are not defined in this Award Agreement shall have the same meaning as in the Plan. This Award is intended to be an Other Stock-Based Award under the Plan.</w:t>
      </w:r>
    </w:p>
    <w:p>
      <w:pPr>
        <w:spacing w:after="0" w:line="181"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Name of Participant</w:t>
      </w:r>
      <w:r>
        <w:rPr>
          <w:rFonts w:ascii="Times New Roman" w:cs="Times New Roman" w:eastAsia="Times New Roman" w:hAnsi="Times New Roman"/>
          <w:sz w:val="20"/>
          <w:szCs w:val="20"/>
          <w:color w:val="auto"/>
        </w:rPr>
        <w:t>: _____ (the “Participant”)</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Grant Date</w:t>
      </w:r>
      <w:r>
        <w:rPr>
          <w:rFonts w:ascii="Times New Roman" w:cs="Times New Roman" w:eastAsia="Times New Roman" w:hAnsi="Times New Roman"/>
          <w:sz w:val="20"/>
          <w:szCs w:val="20"/>
          <w:color w:val="auto"/>
        </w:rPr>
        <w:t>: October 25, 2024 (the “Grant Date”)</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Number of Shares</w:t>
      </w:r>
      <w:r>
        <w:rPr>
          <w:rFonts w:ascii="Times New Roman" w:cs="Times New Roman" w:eastAsia="Times New Roman" w:hAnsi="Times New Roman"/>
          <w:sz w:val="20"/>
          <w:szCs w:val="20"/>
          <w:color w:val="auto"/>
        </w:rPr>
        <w:t>: 1,298 Shares</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Vesting of Shares</w:t>
      </w:r>
      <w:r>
        <w:rPr>
          <w:rFonts w:ascii="Times New Roman" w:cs="Times New Roman" w:eastAsia="Times New Roman" w:hAnsi="Times New Roman"/>
          <w:sz w:val="20"/>
          <w:szCs w:val="20"/>
          <w:color w:val="auto"/>
        </w:rPr>
        <w:t>: The Shares shall be fully vested as of the Grant Date.</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Settlement</w:t>
      </w:r>
      <w:r>
        <w:rPr>
          <w:rFonts w:ascii="Times New Roman" w:cs="Times New Roman" w:eastAsia="Times New Roman" w:hAnsi="Times New Roman"/>
          <w:sz w:val="20"/>
          <w:szCs w:val="20"/>
          <w:color w:val="auto"/>
        </w:rPr>
        <w:t>: The Shares shall be delivered to the Participant as soon as administratively feasible after the Grant Date.</w:t>
      </w:r>
    </w:p>
    <w:p>
      <w:pPr>
        <w:spacing w:after="0" w:line="215" w:lineRule="exact"/>
        <w:rPr>
          <w:rFonts w:ascii="Times New Roman" w:cs="Times New Roman" w:eastAsia="Times New Roman" w:hAnsi="Times New Roman"/>
          <w:sz w:val="20"/>
          <w:szCs w:val="20"/>
          <w:color w:val="auto"/>
        </w:rPr>
      </w:pPr>
    </w:p>
    <w:p>
      <w:pPr>
        <w:ind w:left="760" w:hanging="752"/>
        <w:spacing w:after="0" w:line="243" w:lineRule="auto"/>
        <w:tabs>
          <w:tab w:leader="none" w:pos="42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Tax Withholding</w:t>
      </w:r>
      <w:r>
        <w:rPr>
          <w:rFonts w:ascii="Times New Roman" w:cs="Times New Roman" w:eastAsia="Times New Roman" w:hAnsi="Times New Roman"/>
          <w:sz w:val="20"/>
          <w:szCs w:val="20"/>
          <w:color w:val="auto"/>
        </w:rPr>
        <w:t>: The Company or an Affiliate, as applicable, shall have the power and the right to deduct, withhold, or collect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required by law or regulation to be withheld with respect to any taxable event arising with respect to the Shares. To the extent permitted by the Committee, in its sole discretion, this amount may be: (a) withheld from other amounts due to the Participant; (b) withheld from the value of any Shares transferred in connection with this Award; (c) collected directly from the Participant; or (d) withheld using any combination of the methods described in clauses (a), (b), or (c). Subject to the approval of the Committee, the Participant may elect to satisfy the withholding requirement, in whole or in part, by having the Company or an Affiliate, as applicable, withhold Shares having a Fair Market Value on the date the tax is to be determined equal to the statutory total tax that could be imposed on the transaction; provided that such Shares would otherwise be distributable to the Participant at the time of the withholding. All such elections will be irrevocable and made in writing and will be subject to any terms and conditions that the Committee, in its sole discretion, deems appropriate.</w:t>
      </w:r>
    </w:p>
    <w:p>
      <w:pPr>
        <w:spacing w:after="0" w:line="182"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Terms and Conditions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54" w:lineRule="auto"/>
        <w:tabs>
          <w:tab w:leader="none" w:pos="121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The granting of the Award shall impose no obligation on the Company or any Affiliate to continue the service of the Participant or interfere with or limit the authority of the Company or any Affiliate, as applicable, to terminate the service of the Participant at any time, which right is expressly reserved.</w:t>
      </w:r>
    </w:p>
    <w:p>
      <w:pPr>
        <w:spacing w:after="0" w:line="174" w:lineRule="exact"/>
        <w:rPr>
          <w:rFonts w:ascii="Times New Roman" w:cs="Times New Roman" w:eastAsia="Times New Roman" w:hAnsi="Times New Roman"/>
          <w:sz w:val="20"/>
          <w:szCs w:val="20"/>
          <w:color w:val="auto"/>
        </w:rPr>
      </w:pPr>
    </w:p>
    <w:p>
      <w:pPr>
        <w:ind w:left="1500" w:hanging="690"/>
        <w:spacing w:after="0" w:line="274" w:lineRule="auto"/>
        <w:tabs>
          <w:tab w:leader="none" w:pos="1214"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Requirements of Law</w:t>
      </w:r>
      <w:r>
        <w:rPr>
          <w:rFonts w:ascii="Times New Roman" w:cs="Times New Roman" w:eastAsia="Times New Roman" w:hAnsi="Times New Roman"/>
          <w:sz w:val="19"/>
          <w:szCs w:val="19"/>
          <w:color w:val="auto"/>
        </w:rPr>
        <w:t>. This Award Agreement and the grant of Shares shall be subject to all applicable federal, state, and local laws, rules and regulations (including all applicable federal and state securities laws) and to all required approvals of any governmental agencies or stock exchange, market, or quotation system on which the Shares are then listed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ind w:left="690" w:right="20" w:hanging="690"/>
        <w:spacing w:after="0" w:line="269" w:lineRule="auto"/>
        <w:tabs>
          <w:tab w:leader="none" w:pos="4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Agreement shall be governed by and construed in accordance with the laws of the State of Wisconsin, without regard to its conflicts of law provisions.</w:t>
      </w:r>
    </w:p>
    <w:p>
      <w:pPr>
        <w:spacing w:after="0" w:line="159" w:lineRule="exact"/>
        <w:rPr>
          <w:rFonts w:ascii="Times New Roman" w:cs="Times New Roman" w:eastAsia="Times New Roman" w:hAnsi="Times New Roman"/>
          <w:sz w:val="20"/>
          <w:szCs w:val="20"/>
          <w:color w:val="auto"/>
        </w:rPr>
      </w:pPr>
    </w:p>
    <w:p>
      <w:pPr>
        <w:ind w:left="690" w:hanging="690"/>
        <w:spacing w:after="0" w:line="246" w:lineRule="auto"/>
        <w:tabs>
          <w:tab w:leader="none" w:pos="43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Award Subject to Plan</w:t>
      </w:r>
      <w:r>
        <w:rPr>
          <w:rFonts w:ascii="Times New Roman" w:cs="Times New Roman" w:eastAsia="Times New Roman" w:hAnsi="Times New Roman"/>
          <w:sz w:val="20"/>
          <w:szCs w:val="20"/>
          <w:color w:val="auto"/>
        </w:rPr>
        <w:t>. Except as otherwise described in this Section 7(d), this Award Agreement constitutes the entire agreement between the parties, and supersedes all prior agreements and understandings, relating to the subject matter of this Award Agreement. The Shares are subject in all cases to the terms and conditions set forth in this Award Agreement and the Plan, which are incorporated into and made a part of this Award Agreement. In the event of a conflict between the terms of the Plan and the terms of this Award Agreement, the terms of the Plan will govern.</w:t>
      </w:r>
    </w:p>
    <w:p>
      <w:pPr>
        <w:spacing w:after="0" w:line="184" w:lineRule="exact"/>
        <w:rPr>
          <w:rFonts w:ascii="Times New Roman" w:cs="Times New Roman" w:eastAsia="Times New Roman" w:hAnsi="Times New Roman"/>
          <w:sz w:val="20"/>
          <w:szCs w:val="20"/>
          <w:color w:val="auto"/>
        </w:rPr>
      </w:pPr>
    </w:p>
    <w:p>
      <w:pPr>
        <w:ind w:left="690" w:hanging="690"/>
        <w:spacing w:after="0" w:line="246" w:lineRule="auto"/>
        <w:tabs>
          <w:tab w:leader="none" w:pos="4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provisions of this Award Agreement shall not affect the validity or enforceability of any other provision of this Award Agreement, and each other provision of this Award Agreement shall be severable and enforceable to the extent permitted by law. The provisions of this Award Agreement shall inure to the benefit of, and be binding upon, the Company and its successors and assigns and the Participant and the Participant’s legal representatives, heirs, legatees, distributes, assigns and transferees.</w:t>
      </w:r>
    </w:p>
    <w:p>
      <w:pPr>
        <w:spacing w:after="0" w:line="184" w:lineRule="exact"/>
        <w:rPr>
          <w:rFonts w:ascii="Times New Roman" w:cs="Times New Roman" w:eastAsia="Times New Roman" w:hAnsi="Times New Roman"/>
          <w:sz w:val="20"/>
          <w:szCs w:val="20"/>
          <w:color w:val="auto"/>
        </w:rPr>
      </w:pPr>
    </w:p>
    <w:p>
      <w:pPr>
        <w:ind w:left="390" w:hanging="390"/>
        <w:spacing w:after="0"/>
        <w:tabs>
          <w:tab w:leader="none" w:pos="39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Award Agreement may be amended or terminated in accordance with Article XV of the Plan.</w:t>
      </w:r>
    </w:p>
    <w:p>
      <w:pPr>
        <w:spacing w:after="0" w:line="215" w:lineRule="exact"/>
        <w:rPr>
          <w:rFonts w:ascii="Times New Roman" w:cs="Times New Roman" w:eastAsia="Times New Roman" w:hAnsi="Times New Roman"/>
          <w:sz w:val="20"/>
          <w:szCs w:val="20"/>
          <w:color w:val="auto"/>
        </w:rPr>
      </w:pPr>
    </w:p>
    <w:p>
      <w:pPr>
        <w:ind w:left="690" w:right="20" w:hanging="690"/>
        <w:spacing w:after="0" w:line="269" w:lineRule="auto"/>
        <w:tabs>
          <w:tab w:leader="none" w:pos="41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Signature in Counterparts</w:t>
      </w:r>
      <w:r>
        <w:rPr>
          <w:rFonts w:ascii="Times New Roman" w:cs="Times New Roman" w:eastAsia="Times New Roman" w:hAnsi="Times New Roman"/>
          <w:sz w:val="20"/>
          <w:szCs w:val="20"/>
          <w:color w:val="auto"/>
        </w:rPr>
        <w:t>. This Award Agreement may be executed in counterparts, each of which will be deemed an original, but all of which will constitute one and the same instrument.</w:t>
      </w:r>
    </w:p>
    <w:p>
      <w:pPr>
        <w:spacing w:after="0" w:line="155" w:lineRule="exact"/>
        <w:rPr>
          <w:sz w:val="20"/>
          <w:szCs w:val="20"/>
          <w:color w:val="auto"/>
        </w:rPr>
      </w:pPr>
    </w:p>
    <w:p>
      <w:pPr>
        <w:ind w:left="3030"/>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478155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13"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Award Agreement as of the Grant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6020" w:type="dxa"/>
            <w:vAlign w:val="bottom"/>
          </w:tcPr>
          <w:p>
            <w:pPr>
              <w:ind w:left="2120"/>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tc>
        <w:tc>
          <w:tcPr>
            <w:tcW w:w="0" w:type="dxa"/>
            <w:vAlign w:val="bottom"/>
          </w:tcPr>
          <w:p>
            <w:pPr>
              <w:spacing w:after="0"/>
              <w:rPr>
                <w:sz w:val="1"/>
                <w:szCs w:val="1"/>
                <w:color w:val="auto"/>
              </w:rPr>
            </w:pPr>
          </w:p>
        </w:tc>
      </w:tr>
      <w:tr>
        <w:trPr>
          <w:trHeight w:val="689"/>
        </w:trPr>
        <w:tc>
          <w:tcPr>
            <w:tcW w:w="3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Signature</w:t>
            </w:r>
          </w:p>
        </w:tc>
        <w:tc>
          <w:tcPr>
            <w:tcW w:w="602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6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6020" w:type="dxa"/>
            <w:vAlign w:val="bottom"/>
          </w:tcPr>
          <w:p>
            <w:pPr>
              <w:ind w:left="2120"/>
              <w:spacing w:after="0"/>
              <w:rPr>
                <w:sz w:val="20"/>
                <w:szCs w:val="20"/>
                <w:color w:val="auto"/>
              </w:rPr>
            </w:pPr>
            <w:r>
              <w:rPr>
                <w:rFonts w:ascii="Times New Roman" w:cs="Times New Roman" w:eastAsia="Times New Roman" w:hAnsi="Times New Roman"/>
                <w:sz w:val="20"/>
                <w:szCs w:val="20"/>
                <w:color w:val="auto"/>
                <w:w w:val="99"/>
              </w:rPr>
              <w:t>Title: __________________________________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13"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Jennifer L. Slater, certify that:</w:t>
      </w:r>
    </w:p>
    <w:p>
      <w:pPr>
        <w:spacing w:after="0" w:line="229"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ind w:left="1020" w:right="100" w:hanging="503"/>
        <w:spacing w:after="0" w:line="254" w:lineRule="auto"/>
        <w:tabs>
          <w:tab w:leader="none" w:pos="102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1020" w:right="280" w:hanging="503"/>
        <w:spacing w:after="0" w:line="254" w:lineRule="auto"/>
        <w:tabs>
          <w:tab w:leader="none" w:pos="102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1020" w:hanging="503"/>
        <w:spacing w:after="0" w:line="254" w:lineRule="auto"/>
        <w:tabs>
          <w:tab w:leader="none" w:pos="102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1020" w:right="40" w:hanging="503"/>
        <w:spacing w:after="0" w:line="254" w:lineRule="auto"/>
        <w:tabs>
          <w:tab w:leader="none" w:pos="102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left="520" w:right="280" w:hanging="512"/>
        <w:spacing w:after="0" w:line="254" w:lineRule="auto"/>
        <w:tabs>
          <w:tab w:leader="none" w:pos="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1020" w:right="140" w:hanging="503"/>
        <w:spacing w:after="0" w:line="254" w:lineRule="auto"/>
        <w:tabs>
          <w:tab w:leader="none" w:pos="102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020" w:right="180" w:hanging="503"/>
        <w:spacing w:after="0" w:line="269" w:lineRule="auto"/>
        <w:tabs>
          <w:tab w:leader="none" w:pos="102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7, 2025</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Jennifer L.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5074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Jennifer L. Slater,</w:t>
      </w:r>
    </w:p>
    <w:p>
      <w:pPr>
        <w:ind w:left="52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Matthew Pauli, certify that:</w:t>
      </w:r>
    </w:p>
    <w:p>
      <w:pPr>
        <w:spacing w:after="0" w:line="229"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Times New Roman" w:cs="Times New Roman" w:eastAsia="Times New Roman" w:hAnsi="Times New Roman"/>
          <w:sz w:val="20"/>
          <w:szCs w:val="20"/>
          <w:color w:val="auto"/>
        </w:rPr>
      </w:pPr>
    </w:p>
    <w:p>
      <w:pPr>
        <w:ind w:left="520" w:right="180" w:hanging="3"/>
        <w:spacing w:after="0" w:line="254" w:lineRule="auto"/>
        <w:tabs>
          <w:tab w:leader="none" w:pos="102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520" w:right="200" w:hanging="3"/>
        <w:spacing w:after="0" w:line="254" w:lineRule="auto"/>
        <w:tabs>
          <w:tab w:leader="none" w:pos="102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520" w:right="380" w:hanging="3"/>
        <w:spacing w:after="0" w:line="254" w:lineRule="auto"/>
        <w:tabs>
          <w:tab w:leader="none" w:pos="102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520" w:right="40" w:hanging="3"/>
        <w:spacing w:after="0" w:line="254" w:lineRule="auto"/>
        <w:tabs>
          <w:tab w:leader="none" w:pos="102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right="420" w:firstLine="8"/>
        <w:spacing w:after="0" w:line="254" w:lineRule="auto"/>
        <w:tabs>
          <w:tab w:leader="none" w:pos="50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520" w:right="140" w:hanging="3"/>
        <w:spacing w:after="0" w:line="295" w:lineRule="auto"/>
        <w:tabs>
          <w:tab w:leader="none" w:pos="1029"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9"/>
          <w:szCs w:val="19"/>
          <w:color w:val="auto"/>
        </w:rPr>
      </w:pPr>
    </w:p>
    <w:p>
      <w:pPr>
        <w:ind w:left="520" w:right="180" w:hanging="3"/>
        <w:spacing w:after="0" w:line="269" w:lineRule="auto"/>
        <w:tabs>
          <w:tab w:leader="none" w:pos="102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7, 2025</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Matthew Pauli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2560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Matthew Pauli,</w:t>
      </w:r>
    </w:p>
    <w:p>
      <w:pPr>
        <w:ind w:left="5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6" w:name="page37"/>
    <w:bookmarkEnd w:id="36"/>
    <w:p>
      <w:pPr>
        <w:ind w:left="8580"/>
        <w:spacing w:after="0"/>
        <w:rPr>
          <w:sz w:val="20"/>
          <w:szCs w:val="20"/>
          <w:color w:val="auto"/>
        </w:rPr>
      </w:pPr>
      <w:r>
        <w:rPr>
          <w:rFonts w:ascii="Times New Roman" w:cs="Times New Roman" w:eastAsia="Times New Roman" w:hAnsi="Times New Roman"/>
          <w:sz w:val="20"/>
          <w:szCs w:val="20"/>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of Periodic Financial Report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200" w:lineRule="exact"/>
        <w:rPr>
          <w:sz w:val="20"/>
          <w:szCs w:val="20"/>
          <w:color w:val="auto"/>
        </w:rPr>
      </w:pPr>
    </w:p>
    <w:p>
      <w:pPr>
        <w:spacing w:after="0" w:line="2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Pursuant to 18 U.S.C. Section 1350, as adopted pursuant to Section 906 of the Sarbanes-Oxley Act of 2002, each of the undersigned officers of STRATTEC SECURITY CORPORATION (the "Company") certifies that the Quarterly Report on Form 10-Q of the Company for the quarter ended December 29, 2024 fully complies with the requirements of Section 13(a) of the Securities Exchange Act of 1934 and information contained in that Form 10-Q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Dated: February 7, 2025</w:t>
            </w: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/s/ Jennifer L. Slater</w:t>
            </w:r>
          </w:p>
        </w:tc>
        <w:tc>
          <w:tcPr>
            <w:tcW w:w="280" w:type="dxa"/>
            <w:vAlign w:val="bottom"/>
          </w:tcPr>
          <w:p>
            <w:pPr>
              <w:spacing w:after="0"/>
              <w:rPr>
                <w:sz w:val="19"/>
                <w:szCs w:val="19"/>
                <w:color w:val="auto"/>
              </w:rPr>
            </w:pPr>
          </w:p>
        </w:tc>
      </w:tr>
      <w:tr>
        <w:trPr>
          <w:trHeight w:val="227"/>
        </w:trPr>
        <w:tc>
          <w:tcPr>
            <w:tcW w:w="5840" w:type="dxa"/>
            <w:vAlign w:val="bottom"/>
          </w:tcPr>
          <w:p>
            <w:pPr>
              <w:spacing w:after="0"/>
              <w:rPr>
                <w:sz w:val="19"/>
                <w:szCs w:val="19"/>
                <w:color w:val="auto"/>
              </w:rPr>
            </w:pPr>
          </w:p>
        </w:tc>
        <w:tc>
          <w:tcPr>
            <w:tcW w:w="19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Jennifer L. Slater,</w:t>
            </w:r>
          </w:p>
        </w:tc>
      </w:tr>
      <w:tr>
        <w:trPr>
          <w:trHeight w:val="258"/>
        </w:trPr>
        <w:tc>
          <w:tcPr>
            <w:tcW w:w="584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Chief Executive Officer</w:t>
            </w:r>
          </w:p>
        </w:tc>
      </w:tr>
      <w:tr>
        <w:trPr>
          <w:trHeight w:val="615"/>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Dated: February 7, 2025</w:t>
            </w: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Matthew Pauli</w:t>
            </w:r>
          </w:p>
        </w:tc>
      </w:tr>
      <w:tr>
        <w:trPr>
          <w:trHeight w:val="227"/>
        </w:trPr>
        <w:tc>
          <w:tcPr>
            <w:tcW w:w="5840" w:type="dxa"/>
            <w:vAlign w:val="bottom"/>
          </w:tcPr>
          <w:p>
            <w:pPr>
              <w:spacing w:after="0"/>
              <w:rPr>
                <w:sz w:val="19"/>
                <w:szCs w:val="19"/>
                <w:color w:val="auto"/>
              </w:rPr>
            </w:pPr>
          </w:p>
        </w:tc>
        <w:tc>
          <w:tcPr>
            <w:tcW w:w="140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Matthew Pauli,</w:t>
            </w:r>
          </w:p>
        </w:tc>
        <w:tc>
          <w:tcPr>
            <w:tcW w:w="500" w:type="dxa"/>
            <w:vAlign w:val="bottom"/>
            <w:gridSpan w:val="2"/>
          </w:tcPr>
          <w:p>
            <w:pPr>
              <w:spacing w:after="0"/>
              <w:rPr>
                <w:sz w:val="19"/>
                <w:szCs w:val="19"/>
                <w:color w:val="auto"/>
              </w:rPr>
            </w:pPr>
          </w:p>
        </w:tc>
      </w:tr>
      <w:tr>
        <w:trPr>
          <w:trHeight w:val="258"/>
        </w:trPr>
        <w:tc>
          <w:tcPr>
            <w:tcW w:w="584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30"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This certification is made solely for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1268730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01"/>
    </w:lvl>
  </w:abstractNum>
  <w:abstractNum w:abstractNumId="6">
    <w:nsid w:val="1BEFD79F"/>
    <w:multiLevelType w:val="hybridMultilevel"/>
    <w:lvl w:ilvl="0">
      <w:lvlJc w:val="left"/>
      <w:lvlText w:val="*"/>
      <w:numFmt w:val="bullet"/>
      <w:start w:val="1"/>
    </w:lvl>
    <w:lvl w:ilvl="1">
      <w:lvlJc w:val="left"/>
      <w:lvlText w:val="%2"/>
      <w:numFmt w:val="decimal"/>
      <w:start w:val="104"/>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
    <w:nsid w:val="25E45D3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1)"/>
      <w:numFmt w:val="lowerLetter"/>
      <w:start w:val="8"/>
    </w:lvl>
  </w:abstractNum>
  <w:abstractNum w:abstractNumId="13">
    <w:nsid w:val="3F2DBA31"/>
    <w:multiLevelType w:val="hybridMultilevel"/>
    <w:lvl w:ilvl="0">
      <w:lvlJc w:val="left"/>
      <w:lvlText w:val="%1."/>
      <w:numFmt w:val="decimal"/>
      <w:start w:val="1"/>
    </w:lvl>
    <w:lvl w:ilvl="1">
      <w:lvlJc w:val="left"/>
      <w:lvlText w:val="(%2)"/>
      <w:numFmt w:val="lowerLetter"/>
      <w:start w:val="1"/>
    </w:lvl>
  </w:abstractNum>
  <w:abstractNum w:abstractNumId="14">
    <w:nsid w:val="7C83E458"/>
    <w:multiLevelType w:val="hybridMultilevel"/>
    <w:lvl w:ilvl="0">
      <w:lvlJc w:val="left"/>
      <w:lvlText w:val="(%1)"/>
      <w:numFmt w:val="lowerRoman"/>
      <w:start w:val="1"/>
    </w:lvl>
  </w:abstractNum>
  <w:abstractNum w:abstractNumId="15">
    <w:nsid w:val="257130A3"/>
    <w:multiLevelType w:val="hybridMultilevel"/>
    <w:lvl w:ilvl="0">
      <w:lvlJc w:val="left"/>
      <w:lvlText w:val="%1"/>
      <w:numFmt w:val="decimal"/>
      <w:start w:val="1"/>
    </w:lvl>
    <w:lvl w:ilvl="1">
      <w:lvlJc w:val="left"/>
      <w:lvlText w:val="(%2)"/>
      <w:numFmt w:val="lowerRoman"/>
      <w:start w:val="3"/>
    </w:lvl>
  </w:abstractNum>
  <w:abstractNum w:abstractNumId="16">
    <w:nsid w:val="62BBD95A"/>
    <w:multiLevelType w:val="hybridMultilevel"/>
    <w:lvl w:ilvl="0">
      <w:lvlJc w:val="left"/>
      <w:lvlText w:val="%1."/>
      <w:numFmt w:val="decimal"/>
      <w:start w:val="5"/>
    </w:lvl>
    <w:lvl w:ilvl="1">
      <w:lvlJc w:val="left"/>
      <w:lvlText w:val="%2"/>
      <w:numFmt w:val="lowerRoman"/>
      <w:start w:val="1"/>
    </w:lvl>
  </w:abstractNum>
  <w:abstractNum w:abstractNumId="17">
    <w:nsid w:val="436C6125"/>
    <w:multiLevelType w:val="hybridMultilevel"/>
    <w:lvl w:ilvl="0">
      <w:lvlJc w:val="left"/>
      <w:lvlText w:val="%1."/>
      <w:numFmt w:val="decimal"/>
      <w:start w:val="6"/>
    </w:lvl>
    <w:lvl w:ilvl="1">
      <w:lvlJc w:val="left"/>
      <w:lvlText w:val="(%2)"/>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20" Type="http://schemas.openxmlformats.org/officeDocument/2006/relationships/hyperlink" Target="https://www.sec.gov/Archives/edgar/data/933034/000095012317008407/strt-ex31_23.htm" TargetMode="External"/><Relationship Id="rId221" Type="http://schemas.openxmlformats.org/officeDocument/2006/relationships/hyperlink" Target="https://www.sec.gov/Archives/edgar/data/933034/000156459019041294/strt-ex31_96.htm" TargetMode="External"/><Relationship Id="rId222" Type="http://schemas.openxmlformats.org/officeDocument/2006/relationships/hyperlink" Target="https://www.sec.gov/Archives/edgar/data/933034/000114036121035097/brhc10029967_ex3-1.htm" TargetMode="External"/><Relationship Id="rId223" Type="http://schemas.openxmlformats.org/officeDocument/2006/relationships/hyperlink" Target="https://www.sec.gov/Archives/edgar/data/933034/000095017024116723/strt-ex3_ex-3-1-articles.htm" TargetMode="External"/><Relationship Id="rId224" Type="http://schemas.openxmlformats.org/officeDocument/2006/relationships/hyperlink" Target="https://www.sec.gov/Archives/edgar/data/933034/000095017024116723/strt-ex3_ex-3-2-bylaws.htm" TargetMode="External"/><Relationship Id="rId225" Type="http://schemas.openxmlformats.org/officeDocument/2006/relationships/hyperlink" Target="https://www.sec.gov/Archives/edgar/data/933034/000095017024116723/strt-ex10_ex-10-1-eip.htm" TargetMode="External"/><Relationship Id="rId226" Type="http://schemas.openxmlformats.org/officeDocument/2006/relationships/hyperlink" Target="https://www.sec.gov/Archives/edgar/data/933034/000095017024123365/strt-ex10_2.htm" TargetMode="External"/><Relationship Id="rId227" Type="http://schemas.openxmlformats.org/officeDocument/2006/relationships/hyperlink" Target="https://www.sec.gov/Archives/edgar/data/933034/000095017024123365/strt-ex10_3.htm" TargetMode="External"/><Relationship Id="rId228" Type="http://schemas.openxmlformats.org/officeDocument/2006/relationships/hyperlink" Target="https://www.sec.gov/Archives/edgar/data/933034/000095017024119619/strt-ex10_1.htm" TargetMode="External"/><Relationship Id="rId229" Type="http://schemas.openxmlformats.org/officeDocument/2006/relationships/hyperlink" Target="https://www.sec.gov/Archives/edgar/data/933034/000095017024119619/strt-ex10_2.htm" TargetMode="External"/><Relationship Id="rId230" Type="http://schemas.openxmlformats.org/officeDocument/2006/relationships/hyperlink" Target="https://www.sec.gov/Archives/edgar/data/933034/000095017024119619/strt-ex10_3.htm" TargetMode="External"/><Relationship Id="rId231" Type="http://schemas.openxmlformats.org/officeDocument/2006/relationships/hyperlink" Target="https://www.sec.gov/Archives/edgar/data/933034/000095017024119619/strt-ex10_4.htm" TargetMode="External"/><Relationship Id="rId232" Type="http://schemas.openxmlformats.org/officeDocument/2006/relationships/hyperlink" Target="https://www.sec.gov/Archives/edgar/data/933034/000095017024124505/str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2025-02-07T07:41:32Z</dcterms:created>
  <dcterms:modified xsi:type="dcterms:W3CDTF">2025-02-07T07:41:32Z</dcterms:modified>
</cp:coreProperties>
</file>