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LIEBAU FREDERIC JACK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STRATTEC SECURITY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the later of (i) the 2027 annual meeting of shareholders of the Company or (ii) 50 weeks following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4368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3251</Characters>
  <CharactersWithSpaces>3789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