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6" w:lineRule="exact"/>
        <w:rPr>
          <w:sz w:val="24"/>
          <w:szCs w:val="24"/>
          <w:color w:val="auto"/>
        </w:rPr>
      </w:pPr>
    </w:p>
    <w:p>
      <w:pPr>
        <w:ind w:left="440" w:right="240" w:hanging="432"/>
        <w:spacing w:after="0" w:line="262"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-338455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28, 2025</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40" w:right="260" w:hanging="432"/>
        <w:spacing w:after="0" w:line="262"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-5080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0-25150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STRATTEC SECURITY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00" w:type="dxa"/>
        <w:tblCellMar>
          <w:top w:w="0" w:type="dxa"/>
          <w:left w:w="0" w:type="dxa"/>
          <w:bottom w:w="0" w:type="dxa"/>
          <w:right w:w="0" w:type="dxa"/>
        </w:tblCellMar>
      </w:tblPr>
      <w:tr>
        <w:trPr>
          <w:trHeight w:val="214"/>
        </w:trPr>
        <w:tc>
          <w:tcPr>
            <w:tcW w:w="3500" w:type="dxa"/>
            <w:vAlign w:val="bottom"/>
          </w:tcPr>
          <w:p>
            <w:pPr>
              <w:jc w:val="center"/>
              <w:ind w:left="1734"/>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tcPr>
          <w:p>
            <w:pPr>
              <w:jc w:val="right"/>
              <w:ind w:right="2215"/>
              <w:spacing w:after="0"/>
              <w:rPr>
                <w:sz w:val="20"/>
                <w:szCs w:val="20"/>
                <w:color w:val="auto"/>
              </w:rPr>
            </w:pPr>
            <w:r>
              <w:rPr>
                <w:rFonts w:ascii="Times New Roman" w:cs="Times New Roman" w:eastAsia="Times New Roman" w:hAnsi="Times New Roman"/>
                <w:sz w:val="18"/>
                <w:szCs w:val="18"/>
                <w:b w:val="1"/>
                <w:bCs w:val="1"/>
                <w:color w:val="auto"/>
              </w:rPr>
              <w:t>39-1804239</w:t>
            </w:r>
          </w:p>
        </w:tc>
      </w:tr>
      <w:tr>
        <w:trPr>
          <w:trHeight w:val="190"/>
        </w:trPr>
        <w:tc>
          <w:tcPr>
            <w:tcW w:w="3500" w:type="dxa"/>
            <w:vAlign w:val="bottom"/>
          </w:tcPr>
          <w:p>
            <w:pPr>
              <w:jc w:val="center"/>
              <w:ind w:left="1754"/>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80" w:type="dxa"/>
            <w:vAlign w:val="bottom"/>
          </w:tcPr>
          <w:p>
            <w:pPr>
              <w:jc w:val="center"/>
              <w:ind w:right="1175"/>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82"/>
        </w:trPr>
        <w:tc>
          <w:tcPr>
            <w:tcW w:w="3500" w:type="dxa"/>
            <w:vAlign w:val="bottom"/>
          </w:tcPr>
          <w:p>
            <w:pPr>
              <w:spacing w:after="0"/>
              <w:rPr>
                <w:sz w:val="24"/>
                <w:szCs w:val="24"/>
                <w:color w:val="auto"/>
              </w:rPr>
            </w:pPr>
          </w:p>
        </w:tc>
        <w:tc>
          <w:tcPr>
            <w:tcW w:w="7620" w:type="dxa"/>
            <w:vAlign w:val="bottom"/>
            <w:gridSpan w:val="7"/>
          </w:tcPr>
          <w:p>
            <w:pPr>
              <w:jc w:val="center"/>
              <w:ind w:right="3475"/>
              <w:spacing w:after="0"/>
              <w:rPr>
                <w:sz w:val="20"/>
                <w:szCs w:val="20"/>
                <w:color w:val="auto"/>
              </w:rPr>
            </w:pPr>
            <w:r>
              <w:rPr>
                <w:rFonts w:ascii="Times New Roman" w:cs="Times New Roman" w:eastAsia="Times New Roman" w:hAnsi="Times New Roman"/>
                <w:sz w:val="18"/>
                <w:szCs w:val="18"/>
                <w:b w:val="1"/>
                <w:bCs w:val="1"/>
                <w:color w:val="auto"/>
                <w:w w:val="99"/>
              </w:rPr>
              <w:t>3333 West Good Hope Road, Milwaukee, WI 53209</w:t>
            </w: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5"/>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80" w:type="dxa"/>
            <w:vAlign w:val="bottom"/>
          </w:tcPr>
          <w:p>
            <w:pPr>
              <w:spacing w:after="0"/>
              <w:rPr>
                <w:sz w:val="16"/>
                <w:szCs w:val="16"/>
                <w:color w:val="auto"/>
              </w:rPr>
            </w:pPr>
          </w:p>
        </w:tc>
      </w:tr>
      <w:tr>
        <w:trPr>
          <w:trHeight w:val="282"/>
        </w:trPr>
        <w:tc>
          <w:tcPr>
            <w:tcW w:w="3500" w:type="dxa"/>
            <w:vAlign w:val="bottom"/>
          </w:tcPr>
          <w:p>
            <w:pPr>
              <w:spacing w:after="0"/>
              <w:rPr>
                <w:sz w:val="24"/>
                <w:szCs w:val="24"/>
                <w:color w:val="auto"/>
              </w:rPr>
            </w:pPr>
          </w:p>
        </w:tc>
        <w:tc>
          <w:tcPr>
            <w:tcW w:w="314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(414) 247-3333</w:t>
            </w:r>
          </w:p>
        </w:tc>
        <w:tc>
          <w:tcPr>
            <w:tcW w:w="3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20" w:type="dxa"/>
            <w:vAlign w:val="bottom"/>
            <w:gridSpan w:val="6"/>
          </w:tcPr>
          <w:p>
            <w:pPr>
              <w:jc w:val="center"/>
              <w:ind w:right="379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77"/>
        </w:trPr>
        <w:tc>
          <w:tcPr>
            <w:tcW w:w="380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180" w:type="dxa"/>
            <w:vAlign w:val="bottom"/>
          </w:tcPr>
          <w:p>
            <w:pPr>
              <w:spacing w:after="0"/>
              <w:rPr>
                <w:sz w:val="6"/>
                <w:szCs w:val="6"/>
                <w:color w:val="auto"/>
              </w:rPr>
            </w:pPr>
          </w:p>
        </w:tc>
      </w:tr>
      <w:tr>
        <w:trPr>
          <w:trHeight w:val="318"/>
        </w:trPr>
        <w:tc>
          <w:tcPr>
            <w:tcW w:w="694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80" w:type="dxa"/>
            <w:vAlign w:val="bottom"/>
          </w:tcPr>
          <w:p>
            <w:pPr>
              <w:spacing w:after="0"/>
              <w:rPr>
                <w:sz w:val="24"/>
                <w:szCs w:val="24"/>
                <w:color w:val="auto"/>
              </w:rPr>
            </w:pPr>
          </w:p>
        </w:tc>
      </w:tr>
      <w:tr>
        <w:trPr>
          <w:trHeight w:val="24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 w:type="dxa"/>
            <w:vAlign w:val="bottom"/>
          </w:tcPr>
          <w:p>
            <w:pPr>
              <w:spacing w:after="0"/>
              <w:rPr>
                <w:sz w:val="21"/>
                <w:szCs w:val="21"/>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00" w:type="dxa"/>
            <w:vAlign w:val="bottom"/>
          </w:tcPr>
          <w:p>
            <w:pPr>
              <w:spacing w:after="0"/>
              <w:rPr>
                <w:sz w:val="21"/>
                <w:szCs w:val="21"/>
                <w:color w:val="auto"/>
              </w:rPr>
            </w:pPr>
          </w:p>
        </w:tc>
        <w:tc>
          <w:tcPr>
            <w:tcW w:w="880" w:type="dxa"/>
            <w:vAlign w:val="bottom"/>
            <w:tcBorders>
              <w:bottom w:val="single" w:sz="8" w:color="auto"/>
            </w:tcBorders>
            <w:gridSpan w:val="2"/>
          </w:tcPr>
          <w:p>
            <w:pPr>
              <w:spacing w:after="0"/>
              <w:rPr>
                <w:sz w:val="21"/>
                <w:szCs w:val="21"/>
                <w:color w:val="auto"/>
              </w:rPr>
            </w:pPr>
          </w:p>
        </w:tc>
        <w:tc>
          <w:tcPr>
            <w:tcW w:w="418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$.01 par value</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40" w:type="dxa"/>
            <w:vAlign w:val="bottom"/>
            <w:gridSpan w:val="4"/>
          </w:tcPr>
          <w:p>
            <w:pPr>
              <w:jc w:val="center"/>
              <w:ind w:right="1780"/>
              <w:spacing w:after="0"/>
              <w:rPr>
                <w:sz w:val="20"/>
                <w:szCs w:val="20"/>
                <w:color w:val="auto"/>
              </w:rPr>
            </w:pPr>
            <w:r>
              <w:rPr>
                <w:rFonts w:ascii="Times New Roman" w:cs="Times New Roman" w:eastAsia="Times New Roman" w:hAnsi="Times New Roman"/>
                <w:sz w:val="18"/>
                <w:szCs w:val="18"/>
                <w:color w:val="auto"/>
                <w:w w:val="99"/>
              </w:rPr>
              <w:t>STRT</w:t>
            </w:r>
          </w:p>
        </w:tc>
        <w:tc>
          <w:tcPr>
            <w:tcW w:w="4180" w:type="dxa"/>
            <w:vAlign w:val="bottom"/>
          </w:tcPr>
          <w:p>
            <w:pPr>
              <w:jc w:val="center"/>
              <w:ind w:right="795"/>
              <w:spacing w:after="0"/>
              <w:rPr>
                <w:sz w:val="20"/>
                <w:szCs w:val="20"/>
                <w:color w:val="auto"/>
              </w:rPr>
            </w:pPr>
            <w:r>
              <w:rPr>
                <w:rFonts w:ascii="Times New Roman" w:cs="Times New Roman" w:eastAsia="Times New Roman" w:hAnsi="Times New Roman"/>
                <w:sz w:val="18"/>
                <w:szCs w:val="18"/>
                <w:color w:val="auto"/>
                <w:w w:val="99"/>
              </w:rPr>
              <w:t>The Nasdaq Global Stock Market</w:t>
            </w:r>
          </w:p>
        </w:tc>
      </w:tr>
    </w:tbl>
    <w:p>
      <w:pPr>
        <w:spacing w:after="0" w:line="90" w:lineRule="exact"/>
        <w:rPr>
          <w:sz w:val="24"/>
          <w:szCs w:val="24"/>
          <w:color w:val="auto"/>
        </w:rPr>
      </w:pPr>
    </w:p>
    <w:p>
      <w:pPr>
        <w:ind w:right="40" w:firstLine="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40" w:firstLine="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80" w:firstLine="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916" w:right="359" w:bottom="1440" w:gutter="0" w:footer="0" w:header="0"/>
        </w:sectPr>
      </w:pP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tabs>
          <w:tab w:leader="none" w:pos="5400" w:val="left"/>
          <w:tab w:leader="none" w:pos="8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400" w:val="left"/>
          <w:tab w:leader="none" w:pos="8440" w:val="left"/>
        </w:tabs>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200"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p>
    <w:p>
      <w:pPr>
        <w:spacing w:after="0" w:line="57" w:lineRule="exact"/>
        <w:rPr>
          <w:sz w:val="24"/>
          <w:szCs w:val="24"/>
          <w:color w:val="auto"/>
        </w:rPr>
      </w:pPr>
    </w:p>
    <w:p>
      <w:pPr>
        <w:sectPr>
          <w:pgSz w:w="11900" w:h="16838" w:orient="portrait"/>
          <w:cols w:equalWidth="0" w:num="2">
            <w:col w:w="1980" w:space="520"/>
            <w:col w:w="8720"/>
          </w:cols>
          <w:pgMar w:left="320" w:top="916" w:right="359" w:bottom="1440" w:gutter="0" w:footer="0" w:header="0"/>
          <w:type w:val="continuous"/>
        </w:sectPr>
      </w:pPr>
    </w:p>
    <w:p>
      <w:pPr>
        <w:ind w:right="180" w:firstLine="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00" w:right="15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50" w:lineRule="exact"/>
        <w:rPr>
          <w:sz w:val="24"/>
          <w:szCs w:val="24"/>
          <w:color w:val="auto"/>
        </w:rPr>
      </w:pPr>
    </w:p>
    <w:p>
      <w:pPr>
        <w:ind w:right="20" w:firstLine="300"/>
        <w:spacing w:after="0" w:line="282" w:lineRule="auto"/>
        <w:rPr>
          <w:sz w:val="20"/>
          <w:szCs w:val="20"/>
          <w:color w:val="auto"/>
        </w:rPr>
      </w:pPr>
      <w:r>
        <w:rPr>
          <w:rFonts w:ascii="Times New Roman" w:cs="Times New Roman" w:eastAsia="Times New Roman" w:hAnsi="Times New Roman"/>
          <w:sz w:val="18"/>
          <w:szCs w:val="18"/>
          <w:color w:val="auto"/>
        </w:rPr>
        <w:t>Common stock, par value $0.01 per share: 4,179,778 shares outstanding as of January 30, 2026 (which number includes all restricted shares previously awarded that have not vested as of such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STRATTEC SECURITY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28,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6660" w:type="dxa"/>
            <w:vAlign w:val="bottom"/>
            <w:gridSpan w:val="13"/>
            <w:vMerge w:val="restart"/>
          </w:tcPr>
          <w:p>
            <w:pPr>
              <w:jc w:val="center"/>
              <w:ind w:right="3700"/>
              <w:spacing w:after="0"/>
              <w:rPr>
                <w:sz w:val="20"/>
                <w:szCs w:val="20"/>
                <w:color w:val="auto"/>
              </w:rPr>
            </w:pPr>
            <w:r>
              <w:rPr>
                <w:rFonts w:ascii="Times New Roman" w:cs="Times New Roman" w:eastAsia="Times New Roman" w:hAnsi="Times New Roman"/>
                <w:sz w:val="18"/>
                <w:szCs w:val="18"/>
                <w:color w:val="0000FF"/>
                <w:w w:val="99"/>
              </w:rPr>
              <w:t>PART 1. FINANCIAL INFORMATION</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660" w:type="dxa"/>
            <w:vAlign w:val="bottom"/>
            <w:gridSpan w:val="13"/>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2960" w:type="dxa"/>
            <w:vAlign w:val="bottom"/>
            <w:tcBorders>
              <w:top w:val="single" w:sz="8" w:color="0000FF"/>
            </w:tcBorders>
            <w:gridSpan w:val="10"/>
          </w:tcPr>
          <w:p>
            <w:pPr>
              <w:spacing w:after="0"/>
              <w:rPr>
                <w:sz w:val="17"/>
                <w:szCs w:val="17"/>
                <w:color w:val="auto"/>
              </w:rPr>
            </w:pPr>
          </w:p>
        </w:tc>
        <w:tc>
          <w:tcPr>
            <w:tcW w:w="3700" w:type="dxa"/>
            <w:vAlign w:val="bottom"/>
            <w:gridSpan w:val="3"/>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Income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Comprehensive Income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12"/>
        </w:trPr>
        <w:tc>
          <w:tcPr>
            <w:tcW w:w="16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60" w:type="dxa"/>
            <w:vAlign w:val="bottom"/>
            <w:gridSpan w:val="13"/>
          </w:tcPr>
          <w:p>
            <w:pPr>
              <w:jc w:val="center"/>
              <w:ind w:right="3680"/>
              <w:spacing w:after="0"/>
              <w:rPr>
                <w:sz w:val="20"/>
                <w:szCs w:val="20"/>
                <w:color w:val="auto"/>
              </w:rPr>
            </w:pPr>
            <w:r>
              <w:rPr>
                <w:rFonts w:ascii="Times New Roman" w:cs="Times New Roman" w:eastAsia="Times New Roman" w:hAnsi="Times New Roman"/>
                <w:sz w:val="18"/>
                <w:szCs w:val="18"/>
                <w:color w:val="0000FF"/>
                <w:w w:val="99"/>
              </w:rPr>
              <w:t>PART II. OTHER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2620" w:type="dxa"/>
            <w:vAlign w:val="bottom"/>
            <w:tcBorders>
              <w:top w:val="single" w:sz="8" w:color="0000FF"/>
            </w:tcBorders>
            <w:gridSpan w:val="7"/>
          </w:tcPr>
          <w:p>
            <w:pPr>
              <w:spacing w:after="0"/>
              <w:rPr>
                <w:sz w:val="17"/>
                <w:szCs w:val="17"/>
                <w:color w:val="auto"/>
              </w:rPr>
            </w:pPr>
          </w:p>
        </w:tc>
        <w:tc>
          <w:tcPr>
            <w:tcW w:w="386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4820" w:type="dxa"/>
            <w:vAlign w:val="bottom"/>
            <w:gridSpan w:val="1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20" w:type="dxa"/>
            <w:vAlign w:val="bottom"/>
            <w:gridSpan w:val="1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712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040" w:type="dxa"/>
            <w:vAlign w:val="bottom"/>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6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215"/>
        </w:trPr>
        <w:tc>
          <w:tcPr>
            <w:tcW w:w="16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this Quarterly Report on Form 10-Q for Strattec Security Corporation ("Strattec," "the Company," "we," "us," or "our"),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 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the Company's control, that could cause actual results to differ materially from those expressed or implied by such forward-looking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operations and financial performance are subject to certain risks and uncertainties, including:</w:t>
      </w:r>
    </w:p>
    <w:p>
      <w:pPr>
        <w:spacing w:after="0" w:line="27" w:lineRule="exact"/>
        <w:rPr>
          <w:sz w:val="20"/>
          <w:szCs w:val="20"/>
          <w:color w:val="auto"/>
        </w:rPr>
      </w:pP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uncertain economic environment and inflationary conditions coupled with the cyclical nature of the automotive industry may adversely affect global vehicle production and demand for our products;</w:t>
      </w:r>
    </w:p>
    <w:p>
      <w:pPr>
        <w:ind w:left="580" w:hanging="37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and technological developments within our sphere of offerings are rapidly evolving;</w:t>
      </w:r>
    </w:p>
    <w:p>
      <w:pPr>
        <w:spacing w:after="0" w:line="9" w:lineRule="exact"/>
        <w:rPr>
          <w:rFonts w:ascii="Times New Roman" w:cs="Times New Roman" w:eastAsia="Times New Roman" w:hAnsi="Times New Roman"/>
          <w:sz w:val="18"/>
          <w:szCs w:val="18"/>
          <w:color w:val="auto"/>
        </w:rPr>
      </w:pP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purchasing actions, warranty provisions and product recall policies could adversely affect our business, results of operations and financial condition;</w:t>
      </w:r>
    </w:p>
    <w:p>
      <w:pPr>
        <w:ind w:left="580" w:right="2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within our operations or at the location of our key customers as a result of labor disputes could adversely impact our business, results of operations and financial condition;</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 inflation or unionization efforts in Mexico, coupled with a shortage of skilled laborers in the United States, could increase our manufacturing expenses and impact production efficiency;</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or international trade policies could adversely affect our results, particularly with respect to goods imported into the United States or produced under U.S. trade agreements such as the USMCA;</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restrictions impacting the import of goods and components stemming from heightened security procedures or changes in policies implemented by the U.S. or Mexican governments related to U.S.-Mexico border crossings could have a negative effect on our business;</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volume and scope of product returns or customer cost reimbursement actions could adversely impact our business, results of operations and financial condition;</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in the costs of operations, warranty claims, adverse business and operational issues could be affected by a material global supply chain and logistics disruption;</w:t>
      </w:r>
    </w:p>
    <w:p>
      <w:pPr>
        <w:jc w:val="both"/>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shortages in the supply of semiconductor chips and other matters adversely impacting the timing, availability and costs of material component parts and raw materials for the production of our products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geopolitical conditions, including regional conflicts, could adversely affect our business, results of operations and financial condition;</w:t>
      </w:r>
    </w:p>
    <w:p>
      <w:pPr>
        <w:ind w:left="580" w:hanging="378"/>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information security management systems and cybersecurity incidents could adversely affect our business, results of operations and financial condition; and</w:t>
      </w:r>
    </w:p>
    <w:p>
      <w:pPr>
        <w:ind w:left="580" w:hanging="378"/>
        <w:spacing w:after="0" w:line="26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including, but not limited to, the factors listed in the “Risk Factors” in Part I, Item 1A included in the Company’s Annual Report on Form 10-K for the year ended June 29, 2025 filed with the SEC on August 25, 2025 (the "Annual Report").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Form 10-Q and the Company undertakes no obligation to update such forward-looking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right="49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STRATTEC SECURITY CORPORATION AND SUBSIDIARIES CONDENSED CONSOLIDATED STATEMENTS OF INCOME (UNAUDITED) </w:t>
      </w:r>
      <w:r>
        <w:rPr>
          <w:rFonts w:ascii="Times New Roman" w:cs="Times New Roman" w:eastAsia="Times New Roman" w:hAnsi="Times New Roman"/>
          <w:sz w:val="18"/>
          <w:szCs w:val="18"/>
          <w:b w:val="1"/>
          <w:bCs w:val="1"/>
          <w:i w:val="1"/>
          <w:iCs w:val="1"/>
          <w:color w:val="auto"/>
        </w:rPr>
        <w:t>(in thousands, except per share amounts)</w:t>
      </w:r>
    </w:p>
    <w:tbl>
      <w:tblPr>
        <w:tblLayout w:type="fixed"/>
        <w:tblInd w:w="0" w:type="dxa"/>
        <w:tblCellMar>
          <w:top w:w="0" w:type="dxa"/>
          <w:left w:w="0" w:type="dxa"/>
          <w:bottom w:w="0" w:type="dxa"/>
          <w:right w:w="0" w:type="dxa"/>
        </w:tblCellMar>
      </w:tblPr>
      <w:tr>
        <w:trPr>
          <w:trHeight w:val="151"/>
        </w:trPr>
        <w:tc>
          <w:tcPr>
            <w:tcW w:w="49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6"/>
          </w:tcPr>
          <w:p>
            <w:pPr>
              <w:jc w:val="right"/>
              <w:ind w:right="74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5"/>
          </w:tcPr>
          <w:p>
            <w:pPr>
              <w:jc w:val="right"/>
              <w:ind w:right="820"/>
              <w:spacing w:after="0" w:line="151"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20" w:type="dxa"/>
            <w:vAlign w:val="bottom"/>
          </w:tcPr>
          <w:p>
            <w:pPr>
              <w:spacing w:after="0"/>
              <w:rPr>
                <w:sz w:val="10"/>
                <w:szCs w:val="10"/>
                <w:color w:val="auto"/>
              </w:rPr>
            </w:pPr>
          </w:p>
        </w:tc>
      </w:tr>
      <w:tr>
        <w:trPr>
          <w:trHeight w:val="173"/>
        </w:trPr>
        <w:tc>
          <w:tcPr>
            <w:tcW w:w="4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137,534</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129,919</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289,933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268,971</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240,876</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232,899</w:t>
            </w:r>
          </w:p>
        </w:tc>
        <w:tc>
          <w:tcPr>
            <w:tcW w:w="120" w:type="dxa"/>
            <w:vAlign w:val="bottom"/>
          </w:tcPr>
          <w:p>
            <w:pPr>
              <w:spacing w:after="0"/>
              <w:rPr>
                <w:sz w:val="18"/>
                <w:szCs w:val="18"/>
                <w:color w:val="auto"/>
              </w:rPr>
            </w:pPr>
          </w:p>
        </w:tc>
      </w:tr>
      <w:tr>
        <w:trPr>
          <w:trHeight w:val="209"/>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36,072</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Selling, administrative and engineering expenses</w:t>
            </w:r>
          </w:p>
        </w:tc>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33,748</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120" w:type="dxa"/>
            <w:vAlign w:val="bottom"/>
          </w:tcPr>
          <w:p>
            <w:pPr>
              <w:spacing w:after="0"/>
              <w:rPr>
                <w:sz w:val="18"/>
                <w:szCs w:val="18"/>
                <w:color w:val="auto"/>
              </w:rPr>
            </w:pPr>
          </w:p>
        </w:tc>
      </w:tr>
      <w:tr>
        <w:trPr>
          <w:trHeight w:val="210"/>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from operations</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r>
      <w:tr>
        <w:trPr>
          <w:trHeight w:val="210"/>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8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tcPr>
          <w:p>
            <w:pPr>
              <w:spacing w:after="0"/>
              <w:rPr>
                <w:sz w:val="18"/>
                <w:szCs w:val="18"/>
                <w:color w:val="auto"/>
              </w:rPr>
            </w:pPr>
          </w:p>
        </w:tc>
      </w:tr>
      <w:tr>
        <w:trPr>
          <w:trHeight w:val="209"/>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r>
      <w:tr>
        <w:trPr>
          <w:trHeight w:val="250"/>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20" w:type="dxa"/>
            <w:vAlign w:val="bottom"/>
            <w:shd w:val="clear" w:color="auto" w:fill="CFF0FC"/>
          </w:tcPr>
          <w:p>
            <w:pPr>
              <w:spacing w:after="0"/>
              <w:rPr>
                <w:sz w:val="21"/>
                <w:szCs w:val="21"/>
                <w:color w:val="auto"/>
              </w:rPr>
            </w:pPr>
          </w:p>
        </w:tc>
      </w:tr>
      <w:tr>
        <w:trPr>
          <w:trHeight w:val="196"/>
        </w:trPr>
        <w:tc>
          <w:tcPr>
            <w:tcW w:w="4980" w:type="dxa"/>
            <w:vAlign w:val="bottom"/>
            <w:tcBorders>
              <w:top w:val="single" w:sz="8" w:color="CFF0FC"/>
            </w:tcBorders>
          </w:tcPr>
          <w:p>
            <w:pPr>
              <w:spacing w:after="0"/>
              <w:rPr>
                <w:sz w:val="17"/>
                <w:szCs w:val="17"/>
                <w:color w:val="auto"/>
              </w:rPr>
            </w:pPr>
          </w:p>
        </w:tc>
        <w:tc>
          <w:tcPr>
            <w:tcW w:w="8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9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3.26</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FF0FC"/>
          </w:tcPr>
          <w:p>
            <w:pPr>
              <w:spacing w:after="0"/>
              <w:rPr>
                <w:sz w:val="20"/>
                <w:szCs w:val="20"/>
                <w:color w:val="auto"/>
              </w:rPr>
            </w:pPr>
          </w:p>
        </w:tc>
      </w:tr>
      <w:tr>
        <w:trPr>
          <w:trHeight w:val="210"/>
        </w:trPr>
        <w:tc>
          <w:tcPr>
            <w:tcW w:w="4980" w:type="dxa"/>
            <w:vAlign w:val="bottom"/>
            <w:tcBorders>
              <w:top w:val="single" w:sz="8" w:color="CFF0FC"/>
            </w:tcBorders>
          </w:tcPr>
          <w:p>
            <w:pPr>
              <w:spacing w:after="0"/>
              <w:rPr>
                <w:sz w:val="18"/>
                <w:szCs w:val="18"/>
                <w:color w:val="auto"/>
              </w:rPr>
            </w:pPr>
          </w:p>
        </w:tc>
        <w:tc>
          <w:tcPr>
            <w:tcW w:w="8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-1182370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-1165225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-1182370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-1165225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-1182370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-1165225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-582295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-565150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-582295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-565150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-582295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-565150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20" w:type="dxa"/>
            <w:vAlign w:val="bottom"/>
          </w:tcPr>
          <w:p>
            <w:pPr>
              <w:spacing w:after="0"/>
              <w:rPr>
                <w:sz w:val="10"/>
                <w:szCs w:val="10"/>
                <w:color w:val="auto"/>
              </w:rPr>
            </w:pPr>
          </w:p>
        </w:tc>
      </w:tr>
      <w:tr>
        <w:trPr>
          <w:trHeight w:val="173"/>
        </w:trPr>
        <w:tc>
          <w:tcPr>
            <w:tcW w:w="5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2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(4,005)</w:t>
            </w:r>
          </w:p>
        </w:tc>
      </w:tr>
      <w:tr>
        <w:trPr>
          <w:trHeight w:val="216"/>
        </w:trPr>
        <w:tc>
          <w:tcPr>
            <w:tcW w:w="5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Pension and postretirement plans</w:t>
            </w:r>
          </w:p>
        </w:tc>
        <w:tc>
          <w:tcPr>
            <w:tcW w:w="4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(3,713)</w:t>
            </w: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16,031</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shd w:val="clear" w:color="auto" w:fill="CFF0FC"/>
          </w:tcPr>
          <w:p>
            <w:pPr>
              <w:spacing w:after="0"/>
              <w:rPr>
                <w:sz w:val="18"/>
                <w:szCs w:val="18"/>
                <w:color w:val="auto"/>
              </w:rPr>
            </w:pPr>
          </w:p>
        </w:tc>
      </w:tr>
      <w:tr>
        <w:trPr>
          <w:trHeight w:val="216"/>
        </w:trPr>
        <w:tc>
          <w:tcPr>
            <w:tcW w:w="5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(1,451)</w:t>
            </w:r>
          </w:p>
        </w:tc>
      </w:tr>
      <w:tr>
        <w:trPr>
          <w:trHeight w:val="20"/>
        </w:trPr>
        <w:tc>
          <w:tcPr>
            <w:tcW w:w="5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Strattec</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14,654</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shd w:val="clear" w:color="auto" w:fill="CFF0FC"/>
          </w:tcPr>
          <w:p>
            <w:pPr>
              <w:spacing w:after="0"/>
              <w:rPr>
                <w:sz w:val="19"/>
                <w:szCs w:val="19"/>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-599440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-599440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-599440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53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520"/>
              <w:spacing w:after="0" w:line="14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640"/>
              <w:spacing w:after="0" w:line="145" w:lineRule="exact"/>
              <w:rPr>
                <w:sz w:val="20"/>
                <w:szCs w:val="20"/>
                <w:color w:val="auto"/>
              </w:rPr>
            </w:pPr>
            <w:r>
              <w:rPr>
                <w:rFonts w:ascii="Times New Roman" w:cs="Times New Roman" w:eastAsia="Times New Roman" w:hAnsi="Times New Roman"/>
                <w:sz w:val="14"/>
                <w:szCs w:val="14"/>
                <w:b w:val="1"/>
                <w:bCs w:val="1"/>
                <w:color w:val="auto"/>
              </w:rPr>
              <w:t>June 29,</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99,027</w:t>
            </w:r>
          </w:p>
        </w:tc>
        <w:tc>
          <w:tcPr>
            <w:tcW w:w="1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84,579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Finished products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Work in process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11,868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Purchased materials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Inventories, net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71,934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64,701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Pre-production costs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Value-added tax recoverable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19,858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293,267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290,063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Noncurrent Assets: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Land and improvements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41,976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Machinery and equipment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232,369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236,545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Total property, plant and equipment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281,153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282,948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206,517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74,636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77,410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4,584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392,245</w:t>
            </w:r>
          </w:p>
        </w:tc>
        <w:tc>
          <w:tcPr>
            <w:tcW w:w="1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59,568</w:t>
            </w:r>
          </w:p>
        </w:tc>
        <w:tc>
          <w:tcPr>
            <w:tcW w:w="1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65,824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payroll and benefits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Value-added tax payable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12,732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Warranty reserve</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Current portion of borrowings under credit facilities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112,450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119,350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Noncurrent Liabilities: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Noncurrent portion of borrowings under credit facilities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Post-employment benefits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3,975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4,348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129,231</w:t>
            </w:r>
          </w:p>
        </w:tc>
        <w:tc>
          <w:tcPr>
            <w:tcW w:w="1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7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Common stock, authorized 18,000,000 shares, $.01 par value, 7,699,083</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issued shares at December 28, 2025 and 7,635,883 issued shares at June 29, 2025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105,601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103,784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282,773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269,297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(14,935)</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(16,113)</w:t>
            </w:r>
          </w:p>
        </w:tc>
        <w:tc>
          <w:tcPr>
            <w:tcW w:w="0" w:type="dxa"/>
            <w:vAlign w:val="bottom"/>
          </w:tcPr>
          <w:p>
            <w:pPr>
              <w:spacing w:after="0"/>
              <w:rPr>
                <w:sz w:val="1"/>
                <w:szCs w:val="1"/>
                <w:color w:val="auto"/>
              </w:rPr>
            </w:pPr>
          </w:p>
        </w:tc>
      </w:tr>
      <w:tr>
        <w:trPr>
          <w:trHeight w:val="181"/>
        </w:trPr>
        <w:tc>
          <w:tcPr>
            <w:tcW w:w="77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Less: treasury stock, at cost (3,615,268 shares at December 28, 2025 and</w:t>
            </w:r>
          </w:p>
        </w:tc>
        <w:tc>
          <w:tcPr>
            <w:tcW w:w="220" w:type="dxa"/>
            <w:vAlign w:val="bottom"/>
          </w:tcPr>
          <w:p>
            <w:pPr>
              <w:spacing w:after="0"/>
              <w:rPr>
                <w:sz w:val="15"/>
                <w:szCs w:val="15"/>
                <w:color w:val="auto"/>
              </w:rPr>
            </w:pPr>
          </w:p>
        </w:tc>
        <w:tc>
          <w:tcPr>
            <w:tcW w:w="1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(136,718)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(135,452)</w:t>
            </w:r>
          </w:p>
        </w:tc>
        <w:tc>
          <w:tcPr>
            <w:tcW w:w="0" w:type="dxa"/>
            <w:vAlign w:val="bottom"/>
          </w:tcPr>
          <w:p>
            <w:pPr>
              <w:spacing w:after="0"/>
              <w:rPr>
                <w:sz w:val="1"/>
                <w:szCs w:val="1"/>
                <w:color w:val="auto"/>
              </w:rPr>
            </w:pPr>
          </w:p>
        </w:tc>
      </w:tr>
      <w:tr>
        <w:trPr>
          <w:trHeight w:val="211"/>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3,596,549 shares at June 29, 2025)</w:t>
            </w:r>
          </w:p>
        </w:tc>
        <w:tc>
          <w:tcPr>
            <w:tcW w:w="2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Strattec shareholders’ equity</w:t>
            </w:r>
          </w:p>
        </w:tc>
        <w:tc>
          <w:tcPr>
            <w:tcW w:w="2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236,798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221,592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Non-controlling interest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263,014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246,431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392,245</w:t>
            </w:r>
          </w:p>
        </w:tc>
        <w:tc>
          <w:tcPr>
            <w:tcW w:w="1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-3565525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80" w:type="dxa"/>
            <w:vAlign w:val="bottom"/>
            <w:tcBorders>
              <w:top w:val="single" w:sz="8" w:color="auto"/>
            </w:tcBorders>
            <w:gridSpan w:val="6"/>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65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291"/>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00" w:type="dxa"/>
            <w:vAlign w:val="bottom"/>
          </w:tcPr>
          <w:p>
            <w:pPr>
              <w:spacing w:after="0"/>
              <w:rPr>
                <w:sz w:val="10"/>
                <w:szCs w:val="10"/>
                <w:color w:val="auto"/>
              </w:rPr>
            </w:pPr>
          </w:p>
        </w:tc>
      </w:tr>
      <w:tr>
        <w:trPr>
          <w:trHeight w:val="173"/>
        </w:trPr>
        <w:tc>
          <w:tcPr>
            <w:tcW w:w="6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00" w:type="dxa"/>
            <w:vAlign w:val="bottom"/>
          </w:tcPr>
          <w:p>
            <w:pPr>
              <w:spacing w:after="0"/>
              <w:rPr>
                <w:sz w:val="18"/>
                <w:szCs w:val="18"/>
                <w:color w:val="auto"/>
              </w:rPr>
            </w:pPr>
          </w:p>
        </w:tc>
      </w:tr>
      <w:tr>
        <w:trPr>
          <w:trHeight w:val="198"/>
        </w:trPr>
        <w:tc>
          <w:tcPr>
            <w:tcW w:w="65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activities:</w:t>
            </w:r>
          </w:p>
        </w:tc>
        <w:tc>
          <w:tcPr>
            <w:tcW w:w="1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(gain) loss on peso contracts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(7,233)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(6,362)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(3,990)</w:t>
            </w: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(4,580)</w:t>
            </w:r>
          </w:p>
        </w:tc>
      </w:tr>
      <w:tr>
        <w:trPr>
          <w:trHeight w:val="210"/>
        </w:trPr>
        <w:tc>
          <w:tcPr>
            <w:tcW w:w="6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(2,990)</w:t>
            </w:r>
          </w:p>
        </w:tc>
      </w:tr>
      <w:tr>
        <w:trPr>
          <w:trHeight w:val="216"/>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(2,990)</w:t>
            </w:r>
          </w:p>
        </w:tc>
      </w:tr>
      <w:tr>
        <w:trPr>
          <w:trHeight w:val="216"/>
        </w:trPr>
        <w:tc>
          <w:tcPr>
            <w:tcW w:w="65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under credit facilities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for debt issuance costs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for taxes withheld from stock-based awards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issuances</w:t>
            </w:r>
          </w:p>
        </w:tc>
        <w:tc>
          <w:tcPr>
            <w:tcW w:w="1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1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100" w:type="dxa"/>
            <w:vAlign w:val="bottom"/>
          </w:tcPr>
          <w:p>
            <w:pPr>
              <w:spacing w:after="0"/>
              <w:rPr>
                <w:sz w:val="18"/>
                <w:szCs w:val="18"/>
                <w:color w:val="auto"/>
              </w:rPr>
            </w:pPr>
          </w:p>
        </w:tc>
      </w:tr>
      <w:tr>
        <w:trPr>
          <w:trHeight w:val="250"/>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99,027</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100" w:type="dxa"/>
            <w:vAlign w:val="bottom"/>
            <w:shd w:val="clear" w:color="auto" w:fill="CFF0FC"/>
          </w:tcPr>
          <w:p>
            <w:pPr>
              <w:spacing w:after="0"/>
              <w:rPr>
                <w:sz w:val="21"/>
                <w:szCs w:val="21"/>
                <w:color w:val="auto"/>
              </w:rPr>
            </w:pPr>
          </w:p>
        </w:tc>
      </w:tr>
      <w:tr>
        <w:trPr>
          <w:trHeight w:val="196"/>
        </w:trPr>
        <w:tc>
          <w:tcPr>
            <w:tcW w:w="6500" w:type="dxa"/>
            <w:vAlign w:val="bottom"/>
            <w:tcBorders>
              <w:top w:val="single" w:sz="8" w:color="CFF0FC"/>
            </w:tcBorders>
          </w:tcPr>
          <w:p>
            <w:pPr>
              <w:spacing w:after="0"/>
              <w:rPr>
                <w:sz w:val="17"/>
                <w:szCs w:val="17"/>
                <w:color w:val="auto"/>
              </w:rPr>
            </w:pPr>
          </w:p>
        </w:tc>
        <w:tc>
          <w:tcPr>
            <w:tcW w:w="1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capital expenditures in accounts payable</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-3225800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-3225800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-2119630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-2119630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-996950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-979805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-996950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5580" w:right="4180" w:hanging="5570"/>
        <w:spacing w:after="0" w:line="53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ind w:right="46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SHAREHOLDERS’ EQUITY </w:t>
      </w:r>
      <w:r>
        <w:rPr>
          <w:rFonts w:ascii="Times New Roman" w:cs="Times New Roman" w:eastAsia="Times New Roman" w:hAnsi="Times New Roman"/>
          <w:sz w:val="18"/>
          <w:szCs w:val="18"/>
          <w:b w:val="1"/>
          <w:bCs w:val="1"/>
          <w:i w:val="1"/>
          <w:iCs w:val="1"/>
          <w:color w:val="auto"/>
        </w:rPr>
        <w:t>(in thousands)</w:t>
      </w:r>
    </w:p>
    <w:tbl>
      <w:tblPr>
        <w:tblLayout w:type="fixed"/>
        <w:tblInd w:w="0" w:type="dxa"/>
        <w:tblCellMar>
          <w:top w:w="0" w:type="dxa"/>
          <w:left w:w="0" w:type="dxa"/>
          <w:bottom w:w="0" w:type="dxa"/>
          <w:right w:w="0" w:type="dxa"/>
        </w:tblCellMar>
      </w:tblPr>
      <w:tr>
        <w:trPr>
          <w:trHeight w:val="129"/>
        </w:trPr>
        <w:tc>
          <w:tcPr>
            <w:tcW w:w="2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5"/>
        </w:trPr>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2"/>
                <w:szCs w:val="12"/>
                <w:b w:val="1"/>
                <w:bCs w:val="1"/>
                <w:color w:val="auto"/>
                <w:w w:val="91"/>
              </w:rPr>
              <w:t>Other</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Capital in Excess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3"/>
              </w:rPr>
              <w:t>Common Stock</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4"/>
              </w:rPr>
              <w:t>of Par Value</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00" w:type="dxa"/>
            <w:vAlign w:val="bottom"/>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29, 2025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103,784</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269,297</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(16,113)</w:t>
            </w: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(135,452)</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24,839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Pension and postretirement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net of tax</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40" w:type="dxa"/>
            <w:vAlign w:val="bottom"/>
            <w:tcBorders>
              <w:right w:val="single" w:sz="8" w:color="CFF0FC"/>
            </w:tcBorders>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Shares withheld for taxes on stock-</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based awards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(919)</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(919)</w:t>
            </w:r>
          </w:p>
        </w:tc>
        <w:tc>
          <w:tcPr>
            <w:tcW w:w="0" w:type="dxa"/>
            <w:vAlign w:val="bottom"/>
          </w:tcPr>
          <w:p>
            <w:pPr>
              <w:spacing w:after="0"/>
              <w:rPr>
                <w:sz w:val="1"/>
                <w:szCs w:val="1"/>
                <w:color w:val="auto"/>
              </w:rPr>
            </w:pPr>
          </w:p>
        </w:tc>
      </w:tr>
      <w:tr>
        <w:trPr>
          <w:trHeight w:val="216"/>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CFF0FC"/>
              <w:right w:val="single" w:sz="8" w:color="CFF0FC"/>
            </w:tcBorders>
            <w:shd w:val="clear" w:color="auto" w:fill="CFF0FC"/>
          </w:tcPr>
          <w:p>
            <w:pPr>
              <w:ind w:left="60"/>
              <w:spacing w:after="0" w:line="202" w:lineRule="exact"/>
              <w:rPr>
                <w:sz w:val="20"/>
                <w:szCs w:val="20"/>
                <w:color w:val="auto"/>
              </w:rPr>
            </w:pPr>
            <w:r>
              <w:rPr>
                <w:rFonts w:ascii="Times New Roman" w:cs="Times New Roman" w:eastAsia="Times New Roman" w:hAnsi="Times New Roman"/>
                <w:sz w:val="18"/>
                <w:szCs w:val="18"/>
                <w:color w:val="auto"/>
              </w:rPr>
              <w:t>Share issuances</w:t>
            </w: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 September 28,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104,464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277,826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(15,453)</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(136,366)</w:t>
            </w:r>
          </w:p>
        </w:tc>
        <w:tc>
          <w:tcPr>
            <w:tcW w:w="26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tcBorders>
              <w:right w:val="single" w:sz="8" w:color="CFF0FC"/>
            </w:tcBorders>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40" w:type="dxa"/>
            <w:vAlign w:val="bottom"/>
            <w:tcBorders>
              <w:right w:val="single" w:sz="8" w:color="CFF0FC"/>
            </w:tcBorders>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Pension and postretirement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adjustment, net of tax</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Shares withheld for taxes on stock-</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based awards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6"/>
        </w:trPr>
        <w:tc>
          <w:tcPr>
            <w:tcW w:w="274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Share issuances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4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 December 28, 2025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105,601</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282,773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(14,935)</w:t>
            </w: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(136,718)</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26,216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27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vMerge w:val="restart"/>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Borders>
              <w:top w:val="single" w:sz="8" w:color="CFF0FC"/>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2"/>
                <w:szCs w:val="12"/>
                <w:b w:val="1"/>
                <w:bCs w:val="1"/>
                <w:color w:val="auto"/>
                <w:w w:val="91"/>
              </w:rPr>
              <w:t>Other</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Capital in Excess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3"/>
              </w:rPr>
              <w:t>Common Stock</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4"/>
              </w:rPr>
              <w:t>of Par Value</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00" w:type="dxa"/>
            <w:vAlign w:val="bottom"/>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101,024</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250,612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(15,689)</w:t>
            </w: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(135,478)</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(1,671)</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(2,760)</w:t>
            </w:r>
          </w:p>
        </w:tc>
        <w:tc>
          <w:tcPr>
            <w:tcW w:w="0" w:type="dxa"/>
            <w:vAlign w:val="bottom"/>
          </w:tcPr>
          <w:p>
            <w:pPr>
              <w:spacing w:after="0"/>
              <w:rPr>
                <w:sz w:val="1"/>
                <w:szCs w:val="1"/>
                <w:color w:val="auto"/>
              </w:rPr>
            </w:pPr>
          </w:p>
        </w:tc>
      </w:tr>
      <w:tr>
        <w:trPr>
          <w:trHeight w:val="198"/>
        </w:trPr>
        <w:tc>
          <w:tcPr>
            <w:tcW w:w="27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Pension and postretirement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net of tax</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Share issuances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4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 September 29,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101,218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254,315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(17,104)</w:t>
            </w: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(135,471)</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24,026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74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(759)</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198"/>
        </w:trPr>
        <w:tc>
          <w:tcPr>
            <w:tcW w:w="27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Pension and postretirement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net of tax</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Share issuances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 December 29,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102,118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255,634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(17,827)</w:t>
            </w: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(135,465)</w:t>
            </w:r>
          </w:p>
        </w:tc>
        <w:tc>
          <w:tcPr>
            <w:tcW w:w="2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23,619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228,155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-3994150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-3994150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-3994150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-3994150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-3994150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-3994150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-2605405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-2588260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-2605405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-2588260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-2605405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-2588260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-2605405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-2588260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-2605405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-2588260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-2605405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-2588260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-1002030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-985520</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-1002030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-985520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-1002030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-985520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-1002030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-985520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-1002030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-985520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-1002030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-985520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-24765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5580" w:right="4180" w:hanging="5570"/>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STRATTEC SECURITY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Strattec Security Corporation (the "Company" or “Strattec”), headquartered in Milwaukee, Wisconsin, is a leading global manufacturer and provider of highly engineered advanced automotive access and security products and solutions. Products include power access solutions, locks &amp; locksets, keys &amp; fobs, engineered latches, vehicle start systems, door handles, and other vehicle access products. Power access solutions provide the motion control for power liftgates, sliding power doors and power tailgates. While the Company serves major automotive OEMs globally, the majority of sales are to the three largest automobile original equipment manufacturers (“OEMs”) in North America.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United States generally accepted accounting principles (“GAAP”) for interim financial reporting and with the instructions of Form 10-Q and Article 10 of Regulation S-X. Accordingly, they do not include all of the information and footnotes required by GAAP for complete financial statements. The condensed consolidated balance sheet data as of June 29, 2025 was derived from the Company’s audited financial statements but does not include all disclosures required by GAAP. For additional information, including the Company’s significant accounting policies, refer to the consolidated financial statements and related footnotes in the Annual Report.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considered necessary for a fair statement of financial results have been made. Such adjustments consist of only those of a normal recurring nature. Operating results for the three and six months ended December 28, 2025 are not necessarily indicative of the results that may be expected for the entire fiscal year ending June 28, 2026. The condensed consolidated financial statements include the results of all wholly owned subsidiaries, as well as the results of a majority owned joint venture.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This ASU is intended to enhance the transparency and decision usefulness of income tax disclosures to provide information to better assess how an entity's operations and related tax risks and tax planning and operational opportunities affect its tax rate and prospects for future cash flows. For the Company, this ASU is effective for annual periods beginning after December 15, 2024 (fiscal 2026). The adoption of ASU 2023-09 will not affect the Company’s financial position or its results of operations but will result in additional disclosures for the fiscal 2026 annual period and for interim periods thereafter.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more detailed information about specified categories of expenses (purchases of inventory, employee compensation, depreciation, intangible asset amortization and depletion) included in certain expense captions presented on the face of the income statement. The ASU is effective for fiscal years beginning after December 15, 2026 (fiscal 2028) and for interim periods beginning after December 15, 2027 (fiscal 2029). The adoption of ASU 2024-03 will not affect the Company’s financial position or its results of operations but will result in additional disclosures for the fiscal 2028 annual period and for interim periods thereafter.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WARRANTY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generally offers its customers an assurance warranty on products sold, although warranty periods may vary by product type and application. The Company has a warranty reserve related to known and potential exposure to warranty claims in the event products fail to perform as expected and in the event the Company may be required to participate in the repair costs incurred by customers for such products. The estimation of the warranty reserve involves judgment and assumptions and is based on an analysis of historical warranty data as well as current trends and information. Changes in the warranty reserve were as follows (in thousands):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charged to expense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Payments, net of recoveries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CREDIT FACILITIES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4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9,848</w:t>
            </w:r>
          </w:p>
        </w:tc>
        <w:tc>
          <w:tcPr>
            <w:tcW w:w="26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10,698</w:t>
            </w:r>
          </w:p>
        </w:tc>
        <w:tc>
          <w:tcPr>
            <w:tcW w:w="22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8,900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10,695</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09"/>
        </w:trPr>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-582295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-307975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37" w:lineRule="exact"/>
        <w:rPr>
          <w:sz w:val="20"/>
          <w:szCs w:val="20"/>
          <w:color w:val="auto"/>
        </w:rPr>
      </w:pPr>
    </w:p>
    <w:p>
      <w:pPr>
        <w:sectPr>
          <w:pgSz w:w="11900" w:h="16838" w:orient="portrait"/>
          <w:cols w:equalWidth="0" w:num="2">
            <w:col w:w="5060" w:space="720"/>
            <w:col w:w="5460"/>
          </w:cols>
          <w:pgMar w:left="320" w:top="979" w:right="339" w:bottom="1440" w:gutter="0" w:footer="0" w:header="0"/>
        </w:sectPr>
      </w:pP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27, 2025, the Company entered into a new revolving credit agreement with BMO Harris N.A. ("Amended &amp; Restated Credit Agreement"), to replace the existing $40 million Strattec Credit Facility. The Amended &amp; Restated Credit Agreement provides for a $40 million revolving line of credit which matures October 2028. The new facility bears interest at varying rates based on the bank's prime rate or SOFR plus 1.50%. The previous Strattec Credit Facility was terminated upon the closing of the new agreement. There were no outstanding borrowings on either facility during the six months ended December 28, 2025 and December 29,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joint venture has an $18 million secured revolving credit facility (the “ADAC-Strattec Credit Facility”) with BMO Harris Bank N.A., which the Company guarantees. The ADAC-Strattec Credit Facility matures in August 2026. Interest on borrowings under the ADAC-Strattec Credit Facility is at varying rates based on the bank's prime rate plus 2% or SOFR plus 3.10%.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facilities are secured by U.S. cash balances, accounts receivable, inventory, and fixed assets located in the U.S. and contain a restrictive financial covenant that requires the applicable borrower to maintain a minimum net worth level. The ADAC-Strattec Credit Facility includes an additional restrictive financial covenant that requires the maintenance of a minimum fixed charge coverage ratio. As of December 28, 2025, the Company was in compliance with all financial covenants.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the ADAC-Strattec Credit Facility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20" w:type="dxa"/>
            <w:vAlign w:val="bottom"/>
          </w:tcPr>
          <w:p>
            <w:pPr>
              <w:spacing w:after="0"/>
              <w:rPr>
                <w:sz w:val="15"/>
                <w:szCs w:val="15"/>
                <w:color w:val="auto"/>
              </w:rPr>
            </w:pPr>
          </w:p>
        </w:tc>
      </w:tr>
      <w:tr>
        <w:trPr>
          <w:trHeight w:val="210"/>
        </w:trPr>
        <w:tc>
          <w:tcPr>
            <w:tcW w:w="6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borrowings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Average outstanding borrowings and the weighted average interest rate under the ADAC-Strattec Credit Facility were as follows (in thousands, except percentages):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6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360" w:type="dxa"/>
            <w:vAlign w:val="bottom"/>
          </w:tcPr>
          <w:p>
            <w:pPr>
              <w:spacing w:after="0"/>
              <w:rPr>
                <w:sz w:val="17"/>
                <w:szCs w:val="17"/>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0"/>
        </w:trPr>
        <w:tc>
          <w:tcPr>
            <w:tcW w:w="6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Average outstanding borrowings</w:t>
            </w: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4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180" w:type="dxa"/>
            <w:vAlign w:val="bottom"/>
            <w:shd w:val="clear" w:color="auto" w:fill="CFF0FC"/>
          </w:tcPr>
          <w:p>
            <w:pPr>
              <w:spacing w:after="0"/>
              <w:rPr>
                <w:sz w:val="18"/>
                <w:szCs w:val="18"/>
                <w:color w:val="auto"/>
              </w:rPr>
            </w:pPr>
          </w:p>
        </w:tc>
      </w:tr>
      <w:tr>
        <w:trPr>
          <w:trHeight w:val="234"/>
        </w:trPr>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20" w:type="dxa"/>
            <w:vAlign w:val="bottom"/>
          </w:tcPr>
          <w:p>
            <w:pPr>
              <w:spacing w:after="0"/>
              <w:rPr>
                <w:sz w:val="20"/>
                <w:szCs w:val="20"/>
                <w:color w:val="auto"/>
              </w:rPr>
            </w:pPr>
          </w:p>
        </w:tc>
        <w:tc>
          <w:tcPr>
            <w:tcW w:w="2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portion of the Company's manufacturing costs are incurred in Mexican pesos, which causes earnings and cash flows to fluctuate with changes in the U.S. dollar/Mexican peso exchange rate. During the three and six month periods ended December 28, 2025 and December 29, 2024, the Company entered into contracts with a creditworthy counterparty that provide for monthly Mexican peso currency forward contracts for a portion of peso denominated operating costs. The following table quantifies the outstanding forward contracts as of December 28, 2025 (in thousands, except with respect to the average forward exchange rate):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3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4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Forward</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Buy MXP/Sell USD</w:t>
            </w:r>
          </w:p>
        </w:tc>
        <w:tc>
          <w:tcPr>
            <w:tcW w:w="3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November 2025 - December 2026</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32,152</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income tax expense and effective tax rate for the three and six month periods ended December 28, 2025 and December 29, 2024 were as follows (in thousands and percentage of Income before income taxes and non-controlling interest):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80" w:type="dxa"/>
            <w:vAlign w:val="bottom"/>
          </w:tcPr>
          <w:p>
            <w:pPr>
              <w:spacing w:after="0"/>
              <w:rPr>
                <w:sz w:val="10"/>
                <w:szCs w:val="10"/>
                <w:color w:val="auto"/>
              </w:rPr>
            </w:pPr>
          </w:p>
        </w:tc>
      </w:tr>
      <w:tr>
        <w:trPr>
          <w:trHeight w:val="173"/>
        </w:trPr>
        <w:tc>
          <w:tcPr>
            <w:tcW w:w="5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8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2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8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primarily Mexico. The Company's income tax positions are based on interpretations of income tax laws and rulings in each of the jurisdictions in which the Company operates. Interim income tax expense is determined based on an estimate of the overall annual effective income tax rate which can vary due to the relationship of foreign and domestic earnings, state taxes and available deductions, credits and discrete items. The effective tax rate for each period presented differs from the U.S. federal statutory rate of 21% primarily due to the accrual of foreign income taxes, which are generally higher than the U.S. federal statutory rate, partially offset by the recognition of U.S. research and development tax credits and discrete income tax benefits associated with share-based payments.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was enacted. There are multiple business tax provisions for which further guidance from the U.S. Treasury and the Internal Revenue Service is needed. The Company is currently reviewing and evaluating the impact of the guidance provided to date that could affect our income tax payable and deferred tax liability, including changes related to bonus depreciation and the expensing of research and development expenditures, among other topics.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RESTRUCTURING</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an effort to optimize its cost structure, the Company implemented a one-time voluntary retirement program during the second quarter of fiscal 2026. The total expected cost of this action is $2.2 million, of which $1.7 million was recognized in the the three months ended December 28, 2025. This cost included $1.3 million of separation payments and $0.4 million for the acceleration of share-based awards. The remaining $0.5 million of cost is expected to be recognized during the remainder of fiscal 2026. Restructuring costs were $0.3 million in the three months ended December 29, 2024. All accrued retirement payments will be paid in the next twelve months. Voluntary retirement expense is reported in the accompanying Condensed Consolidated Statements of Income as part of Selling, Administrative, and Engineering Expenses.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components of the basic and diluted per-share computations follows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00" w:type="dxa"/>
            <w:vAlign w:val="bottom"/>
          </w:tcPr>
          <w:p>
            <w:pPr>
              <w:spacing w:after="0"/>
              <w:rPr>
                <w:sz w:val="10"/>
                <w:szCs w:val="10"/>
                <w:color w:val="auto"/>
              </w:rPr>
            </w:pPr>
          </w:p>
        </w:tc>
      </w:tr>
      <w:tr>
        <w:trPr>
          <w:trHeight w:val="173"/>
        </w:trPr>
        <w:tc>
          <w:tcPr>
            <w:tcW w:w="5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 - employee stock compensation plan</w:t>
            </w: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r>
      <w:tr>
        <w:trPr>
          <w:trHeight w:val="250"/>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r>
      <w:tr>
        <w:trPr>
          <w:trHeight w:val="234"/>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r>
      <w:tr>
        <w:trPr>
          <w:trHeight w:val="414"/>
        </w:trPr>
        <w:tc>
          <w:tcPr>
            <w:tcW w:w="50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-1207770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-1190625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-1207770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-1190625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-1207770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-1190625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granted service-based restricted stock awards ("RSAs") and performance stock units ("PSUs") to employees and non-employee directors under existing stock incentive plans.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of the Company's common stock authorized under the current 2024 Equity Incentive Plan is 550,000. As of December 28, 2025, there were 361,794 shares available for future awards.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28, 2025, there was $1.6 million of unrecognized compensation cost related to non-vested PSUs and $3.5 million of unrecognized compensation cost related to non-vested RSAs, which will be expensed over the remaining vesting period of approximately 2 years. As of December 29, 2024, there was $4.4 million of unrecognized compensation cost related to non-vested RSAs and PSUs.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award and performance stock unit activity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RSAs</w:t>
            </w: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20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June 29, 2025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129,139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(63,200)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December 28,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97,625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36,384</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INCOME (EXPENSE),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Other income (expense), net included in the accompanying consolidated statements of income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20" w:type="dxa"/>
            <w:vAlign w:val="bottom"/>
          </w:tcPr>
          <w:p>
            <w:pPr>
              <w:spacing w:after="0"/>
              <w:rPr>
                <w:sz w:val="10"/>
                <w:szCs w:val="10"/>
                <w:color w:val="auto"/>
              </w:rPr>
            </w:pPr>
          </w:p>
        </w:tc>
      </w:tr>
      <w:tr>
        <w:trPr>
          <w:trHeight w:val="173"/>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Rabbi trust assets gain (loss)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Realized and unrealized gain (loss) on peso forward contracts, net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(1,304)</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Non-service pension and postemployment cost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FF0FC"/>
          </w:tcPr>
          <w:p>
            <w:pPr>
              <w:spacing w:after="0"/>
              <w:rPr>
                <w:sz w:val="18"/>
                <w:szCs w:val="18"/>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ACCUMULATED OTHER COMPREHENSIVE LOSS BY COMPONENT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accumulated other comprehensive loss (“AOCL”) by component (in thousands):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20" w:type="dxa"/>
            <w:vAlign w:val="bottom"/>
          </w:tcPr>
          <w:p>
            <w:pPr>
              <w:spacing w:after="0"/>
              <w:rPr>
                <w:sz w:val="10"/>
                <w:szCs w:val="10"/>
                <w:color w:val="auto"/>
              </w:rPr>
            </w:pPr>
          </w:p>
        </w:tc>
      </w:tr>
      <w:tr>
        <w:trPr>
          <w:trHeight w:val="173"/>
        </w:trPr>
        <w:tc>
          <w:tcPr>
            <w:tcW w:w="5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20" w:type="dxa"/>
            <w:vAlign w:val="bottom"/>
          </w:tcPr>
          <w:p>
            <w:pPr>
              <w:spacing w:after="0"/>
              <w:rPr>
                <w:sz w:val="18"/>
                <w:szCs w:val="18"/>
                <w:color w:val="auto"/>
              </w:rPr>
            </w:pPr>
          </w:p>
        </w:tc>
      </w:tr>
      <w:tr>
        <w:trPr>
          <w:trHeight w:val="216"/>
        </w:trPr>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20" w:type="dxa"/>
            <w:vAlign w:val="bottom"/>
            <w:shd w:val="clear" w:color="auto" w:fill="CFF0FC"/>
          </w:tcPr>
          <w:p>
            <w:pPr>
              <w:spacing w:after="0"/>
              <w:rPr>
                <w:sz w:val="18"/>
                <w:szCs w:val="18"/>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Other comprehensive (income) loss attributable to non-controlling interest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18"/>
                <w:szCs w:val="18"/>
                <w:color w:val="auto"/>
              </w:rPr>
            </w:pPr>
          </w:p>
        </w:tc>
      </w:tr>
      <w:tr>
        <w:trPr>
          <w:trHeight w:val="209"/>
        </w:trPr>
        <w:tc>
          <w:tcPr>
            <w:tcW w:w="5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Retirement and postretirement benefit plans: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shd w:val="clear" w:color="auto" w:fill="CFF0FC"/>
          </w:tcPr>
          <w:p>
            <w:pPr>
              <w:spacing w:after="0"/>
              <w:rPr>
                <w:sz w:val="18"/>
                <w:szCs w:val="18"/>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Unrecognized net income</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r>
      <w:tr>
        <w:trPr>
          <w:trHeight w:val="209"/>
        </w:trPr>
        <w:tc>
          <w:tcPr>
            <w:tcW w:w="55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Borders>
              <w:top w:val="single" w:sz="8" w:color="CFF0FC"/>
            </w:tcBorders>
          </w:tcPr>
          <w:p>
            <w:pPr>
              <w:spacing w:after="0"/>
              <w:rPr>
                <w:sz w:val="18"/>
                <w:szCs w:val="18"/>
                <w:color w:val="auto"/>
              </w:rPr>
            </w:pPr>
          </w:p>
        </w:tc>
      </w:tr>
      <w:tr>
        <w:trPr>
          <w:trHeight w:val="25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 end of period</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20" w:type="dxa"/>
            <w:vAlign w:val="bottom"/>
            <w:shd w:val="clear" w:color="auto" w:fill="CFF0FC"/>
          </w:tcPr>
          <w:p>
            <w:pPr>
              <w:spacing w:after="0"/>
              <w:rPr>
                <w:sz w:val="21"/>
                <w:szCs w:val="21"/>
                <w:color w:val="auto"/>
              </w:rPr>
            </w:pPr>
          </w:p>
        </w:tc>
      </w:tr>
      <w:tr>
        <w:trPr>
          <w:trHeight w:val="413"/>
        </w:trPr>
        <w:tc>
          <w:tcPr>
            <w:tcW w:w="552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5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-1645285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-1645285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-1645285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-1645285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-1087755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-1087755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-1087755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-1087755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-796290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-779145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-796290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-779145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-796290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-779145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3" w:name="page14"/>
    <w:bookmarkEnd w:id="1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51% of a joint venture, which was formed in fiscal 2007 to support customers with painted door handles and exterior trim products from operations in Mexico. The following tables summarize the related party transactions that arise as a result of the joint venture operating agreement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5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5,225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 partner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3,004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8"/>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29,</w:t>
            </w:r>
          </w:p>
        </w:tc>
      </w:tr>
      <w:tr>
        <w:trPr>
          <w:trHeight w:val="173"/>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from joint venture partner</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center"/>
              <w:ind w:right="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FF0FC"/>
          </w:tcPr>
          <w:p>
            <w:pPr>
              <w:spacing w:after="0"/>
              <w:rPr>
                <w:sz w:val="18"/>
                <w:szCs w:val="18"/>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to joint venture partner</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CODM assesses the performance and makes capital and resource allocation decisions based on Net income attributable to Strattec.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considers the impact of significant segment expenses on this measure to assess profitability and guide strategic decision making including entering into significant contracts, expanding into new markets or launching new products, making significant capital expenditures, hiring and terminating key personnel and approving operating budgets.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significant segment expenses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4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137,534</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129,919</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289,933</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Significant expenses: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material costs</w:t>
            </w: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76,420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160,308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Labor and overhead costs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costs</w:t>
            </w: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costs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Engineering costs</w:t>
            </w: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10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-1224915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-1224915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-1224915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-942340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-942340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-942340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Sales by product group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220" w:type="dxa"/>
            <w:vAlign w:val="bottom"/>
          </w:tcPr>
          <w:p>
            <w:pPr>
              <w:spacing w:after="0"/>
              <w:rPr>
                <w:sz w:val="10"/>
                <w:szCs w:val="10"/>
                <w:color w:val="auto"/>
              </w:rPr>
            </w:pPr>
          </w:p>
        </w:tc>
      </w:tr>
      <w:tr>
        <w:trPr>
          <w:trHeight w:val="173"/>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Power access solutions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65,062</w:t>
            </w: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Door handles &amp; exterior trim</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68,244</w:t>
            </w:r>
          </w:p>
        </w:tc>
        <w:tc>
          <w:tcPr>
            <w:tcW w:w="22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Keys &amp; locksets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56,087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43,088</w:t>
            </w: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Latches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22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User interface controls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27,830</w:t>
            </w: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Aftermarket and service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22,639</w:t>
            </w:r>
          </w:p>
        </w:tc>
        <w:tc>
          <w:tcPr>
            <w:tcW w:w="22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137,534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129,919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289,933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268,971</w:t>
            </w:r>
          </w:p>
        </w:tc>
        <w:tc>
          <w:tcPr>
            <w:tcW w:w="2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to and receivables from customers that individually accounted for 10% or more of the Company's total net sales were as follows (in thousands and percent of total):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5"/>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December 29, 2024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4"/>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December 29, 2024</w:t>
            </w:r>
          </w:p>
        </w:tc>
        <w:tc>
          <w:tcPr>
            <w:tcW w:w="180" w:type="dxa"/>
            <w:vAlign w:val="bottom"/>
          </w:tcPr>
          <w:p>
            <w:pPr>
              <w:spacing w:after="0"/>
              <w:rPr>
                <w:sz w:val="12"/>
                <w:szCs w:val="12"/>
                <w:color w:val="auto"/>
              </w:rPr>
            </w:pPr>
          </w:p>
        </w:tc>
      </w:tr>
      <w:tr>
        <w:trPr>
          <w:trHeight w:val="142"/>
        </w:trPr>
        <w:tc>
          <w:tcPr>
            <w:tcW w:w="2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8"/>
              </w:rPr>
              <w:t>Net Sales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top w:val="single" w:sz="8" w:color="auto"/>
            </w:tcBorders>
            <w:gridSpan w:val="2"/>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09"/>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39,386</w:t>
            </w:r>
          </w:p>
        </w:tc>
        <w:tc>
          <w:tcPr>
            <w:tcW w:w="1260" w:type="dxa"/>
            <w:vAlign w:val="bottom"/>
            <w:gridSpan w:val="4"/>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39,550</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81,164</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81,710</w:t>
            </w:r>
          </w:p>
        </w:tc>
        <w:tc>
          <w:tcPr>
            <w:tcW w:w="1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11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59,295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r>
      <w:tr>
        <w:trPr>
          <w:trHeight w:val="216"/>
        </w:trPr>
        <w:tc>
          <w:tcPr>
            <w:tcW w:w="2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25,329</w:t>
            </w: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48,121</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17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24,492</w:t>
            </w: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2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90,151</w:t>
            </w:r>
          </w:p>
        </w:tc>
        <w:tc>
          <w:tcPr>
            <w:tcW w:w="220" w:type="dxa"/>
            <w:vAlign w:val="bottom"/>
          </w:tcPr>
          <w:p>
            <w:pPr>
              <w:spacing w:after="0"/>
              <w:rPr>
                <w:sz w:val="18"/>
                <w:szCs w:val="18"/>
                <w:color w:val="auto"/>
              </w:rPr>
            </w:pPr>
          </w:p>
        </w:tc>
        <w:tc>
          <w:tcPr>
            <w:tcW w:w="10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188,580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167,295</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6"/>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5"/>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22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09"/>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center"/>
              <w:ind w:left="335"/>
              <w:spacing w:after="0"/>
              <w:rPr>
                <w:sz w:val="20"/>
                <w:szCs w:val="20"/>
                <w:color w:val="auto"/>
              </w:rPr>
            </w:pPr>
            <w:r>
              <w:rPr>
                <w:rFonts w:ascii="Times New Roman" w:cs="Times New Roman" w:eastAsia="Times New Roman" w:hAnsi="Times New Roman"/>
                <w:sz w:val="18"/>
                <w:szCs w:val="18"/>
                <w:color w:val="auto"/>
                <w:w w:val="96"/>
              </w:rPr>
              <w:t>22,433</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gridSpan w:val="3"/>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6"/>
              </w:rPr>
              <w:t>26,581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center"/>
              <w:ind w:left="335"/>
              <w:spacing w:after="0"/>
              <w:rPr>
                <w:sz w:val="20"/>
                <w:szCs w:val="20"/>
                <w:color w:val="auto"/>
              </w:rPr>
            </w:pPr>
            <w:r>
              <w:rPr>
                <w:rFonts w:ascii="Times New Roman" w:cs="Times New Roman" w:eastAsia="Times New Roman" w:hAnsi="Times New Roman"/>
                <w:sz w:val="18"/>
                <w:szCs w:val="18"/>
                <w:color w:val="auto"/>
                <w:w w:val="96"/>
              </w:rPr>
              <w:t>16,679</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6"/>
              </w:rPr>
              <w:t>19,916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r>
      <w:tr>
        <w:trPr>
          <w:trHeight w:val="216"/>
        </w:trPr>
        <w:tc>
          <w:tcPr>
            <w:tcW w:w="2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3"/>
            <w:shd w:val="clear" w:color="auto" w:fill="CFF0FC"/>
          </w:tcPr>
          <w:p>
            <w:pPr>
              <w:jc w:val="center"/>
              <w:ind w:left="335"/>
              <w:spacing w:after="0"/>
              <w:rPr>
                <w:sz w:val="20"/>
                <w:szCs w:val="20"/>
                <w:color w:val="auto"/>
              </w:rPr>
            </w:pPr>
            <w:r>
              <w:rPr>
                <w:rFonts w:ascii="Times New Roman" w:cs="Times New Roman" w:eastAsia="Times New Roman" w:hAnsi="Times New Roman"/>
                <w:sz w:val="18"/>
                <w:szCs w:val="18"/>
                <w:color w:val="auto"/>
                <w:w w:val="96"/>
              </w:rPr>
              <w:t>17,709</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20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6"/>
              </w:rPr>
              <w:t>14,812</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center"/>
              <w:ind w:left="335"/>
              <w:spacing w:after="0"/>
              <w:rPr>
                <w:sz w:val="20"/>
                <w:szCs w:val="20"/>
                <w:color w:val="auto"/>
              </w:rPr>
            </w:pPr>
            <w:r>
              <w:rPr>
                <w:rFonts w:ascii="Times New Roman" w:cs="Times New Roman" w:eastAsia="Times New Roman" w:hAnsi="Times New Roman"/>
                <w:sz w:val="18"/>
                <w:szCs w:val="18"/>
                <w:color w:val="auto"/>
                <w:w w:val="96"/>
              </w:rPr>
              <w:t>56,821</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64%</w:t>
            </w:r>
          </w:p>
        </w:tc>
        <w:tc>
          <w:tcPr>
            <w:tcW w:w="820" w:type="dxa"/>
            <w:vAlign w:val="bottom"/>
            <w:gridSpan w:val="3"/>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6"/>
              </w:rPr>
              <w:t>61,309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40"/>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15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-1936750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-1936750</wp:posOffset>
            </wp:positionV>
            <wp:extent cx="1111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-1936750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-1936750</wp:posOffset>
            </wp:positionV>
            <wp:extent cx="1111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-1936750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-1936750</wp:posOffset>
            </wp:positionV>
            <wp:extent cx="1111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-1936750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-1936750</wp:posOffset>
            </wp:positionV>
            <wp:extent cx="1117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-959485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-959485</wp:posOffset>
            </wp:positionV>
            <wp:extent cx="1111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-959485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-959485</wp:posOffset>
            </wp:positionV>
            <wp:extent cx="111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party to various legal actions, administrative proceedings, and claims arising in the ordinary course of business, including matters related to alleged product defects and warranties, contract disputes, intellectual property, and employment issues. The Company recognizes accruals for such matters in accordance with U.S. GAAP when a loss is probable and reasonably estimable. While the outcome of these matters cannot be predicted with certainty, based on currently available information, management does not believe the ultimate resolution of these proceedings, individually or in the aggregate, will have a material adverse effect on the Company's financial position, results of operations, or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ind w:left="720" w:right="2420" w:hanging="71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the accompanying condensed consolidated financial statements and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strategic priority is to execute a business transformation to strengthen the Company’s profitability and deliver sustainable sales growth. We expect to improve our business with upgraded systems and processes, modernization of our support functions and a focus on productivity and efficiencies in our manufacturing operations. We believe this will result in an optimized cost structure and consistent cash generation through improved working capital velocity and efficient asset utilization. In the short term, cash generated from our operations will be reinvested in our business to fund our transformational efforts and growth initiatives. To drive organic growth, we will leverage our technical engineering expertise, market-leading positions and strong customer relationships to generate innovative solutions and capture more content on current platforms, win new platforms with current customers, gain new customers both domestically and abroad and build opportunities in the broader transportation industry.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Volatility in the North American automotive industry is driven by supply chain disruptions, global inflation, thinning labor availability, rising global commodity costs and a changing global trade and geopolitical climate. These macro conditions, coupled with changes in production volumes by OEMs in response to new vehicle consumer demand impact our sales and profitability levels. Lower near term North American light vehicle production estimates, which are subject to change, are a result of recent industry-wide supply chain disruptions, tariff uncertainties, and availability of raw materials including rare earth minerals. As we look forward and navigate these macroeconomic challenges and fluctuating OEM production volumes, we are focused on executing new initiatives to improve our cost structure, continuing to mitigate the impact of incremental tariff costs, driving cash flow through improved working capital utilization and securing new platforms to solidify future sales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Results of Operations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Three months ended December 28, 2025 (second quarter fiscal 2026) compared with the three months ended December 29, 2024 (second quarter fiscal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of operations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137,534</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129,919</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 material costs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Labor and overhead costs</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38,392</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(1,870)</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16.5%</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13.2%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330 bp</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administrative and engineering expenses</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3.5%</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190 bp</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196"/>
        </w:trPr>
        <w:tc>
          <w:tcPr>
            <w:tcW w:w="4840" w:type="dxa"/>
            <w:vAlign w:val="bottom"/>
            <w:tcBorders>
              <w:top w:val="single" w:sz="8" w:color="CFF0FC"/>
            </w:tcBorders>
          </w:tcPr>
          <w:p>
            <w:pPr>
              <w:spacing w:after="0"/>
              <w:rPr>
                <w:sz w:val="17"/>
                <w:szCs w:val="17"/>
                <w:color w:val="auto"/>
              </w:rPr>
            </w:pPr>
          </w:p>
        </w:tc>
        <w:tc>
          <w:tcPr>
            <w:tcW w:w="8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-3316605</wp:posOffset>
            </wp:positionV>
            <wp:extent cx="111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-3316605</wp:posOffset>
            </wp:positionV>
            <wp:extent cx="1117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-3316605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-3316605</wp:posOffset>
            </wp:positionV>
            <wp:extent cx="1543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-2750820</wp:posOffset>
            </wp:positionV>
            <wp:extent cx="111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-2750820</wp:posOffset>
            </wp:positionV>
            <wp:extent cx="1117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-2750820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-2750820</wp:posOffset>
            </wp:positionV>
            <wp:extent cx="1543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-1344930</wp:posOffset>
            </wp:positionV>
            <wp:extent cx="1111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-1327785</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-1344930</wp:posOffset>
            </wp:positionV>
            <wp:extent cx="1117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-1327785</wp:posOffset>
            </wp:positionV>
            <wp:extent cx="1117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-1344930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-1327785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-1344930</wp:posOffset>
            </wp:positionV>
            <wp:extent cx="1543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-1327785</wp:posOffset>
            </wp:positionV>
            <wp:extent cx="1543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Second quarter fiscal 2026 net sales totaled $137.5 million, representing an increase of $7.6 million, or 6%, compared with the prior year second quarter. The year-over-year increase in net sales was primarily driven by $4.4 million of pricing (including $1.4 million of customer recoveries for tariffs), $3.0 million of favorable mix and content per vehicle and $2.4 million in net new program launches, partially offset by $2.3 million lower market demand.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was $22.7 million in the second quarter of fiscal 2026, compared with $17.2 million in the comparable prior year period. Gross profit margin improved year-over-year from 13.2% to 16.5%, a 330 basis point improvement, as a result of enhanced leverage of our fixed cost structure from increased production volumes combined with a $3.0 million benefit from pricing. Improved year-over-year conversion costs reflect $2.3 million in labor cost savings (including benefits from previously completed restructuring actions) and $0.5 million lower royalty expense on reduced aftermarket demand. Offsetting headwinds included unfavorable changes in foreign currency exchange rates of $1.6 million, $1.2 million of higher Mexico labor costs and incremental tariff costs of $0.9 million.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administrative, and engineering expenses were 13.0% of sales for the three months ended December 28, 2025, compared with 11.6% in the prior year period. Fiscal 2026 second quarter expenses were $17.9 million, a $2.8 million increase year-over-year. The current year quarter included a $1.7 million charge related to a voluntary retirement program while the prior year included a $0.2 million restructuring charge. Additional costs in the current quarter were the result of investments in the business including incremental employee costs of $0.7 million, timing of outside service spend and $0.7 million of business transformation costs. The second quarter last year also included $1.1 million of executive transition costs, compared to $0.1 million in the current year.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$0.5 million due to increased levels of cash and cash equivalents, which are invested in overnight money market funds. Interest expense decreased $0.2 million, the result of the continued paydown of amounts outstanding under revolving credit agreements.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was $1.7 million of income in the current period compared to $0.5 million of expense in the prior year. Changes in other income (expense), reflect foreign currency transaction gains and losses, changes in the fair value of peso forward contracts and non-service post-employment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23.1% and 22.4% for the second quarter of fiscal 2026 and 2025, respectively. The effective tax rate for each period presented differs from the U.S. federal statutory rate of 21% primarily due to the accrual of foreign income taxes, which are generally higher than the U.S. federal statutory rate, partially offset by the recognition of U.S. research and development tax credits and discrete income tax benefits associated with share-based payments.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Six months ended December 28, 2025 compared with the six months ended December 29,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of operations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December 29,</w:t>
            </w: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289,933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268,971</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 material costs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Labor and overhead costs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80,568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(1,756)</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49,057</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16.9%</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13.4%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350 bp</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administrative and engineering expenses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5.3%</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260 bp</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 and non-controlling interest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Strattec</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97"/>
        </w:trPr>
        <w:tc>
          <w:tcPr>
            <w:tcW w:w="56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Strattec:</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-2545080</wp:posOffset>
            </wp:positionV>
            <wp:extent cx="1111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-2545080</wp:posOffset>
            </wp:positionV>
            <wp:extent cx="1117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-2545080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-2545080</wp:posOffset>
            </wp:positionV>
            <wp:extent cx="1543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-1979295</wp:posOffset>
            </wp:positionV>
            <wp:extent cx="1111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-1979295</wp:posOffset>
            </wp:positionV>
            <wp:extent cx="1117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-1979295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-1979295</wp:posOffset>
            </wp:positionV>
            <wp:extent cx="1543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-573405</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-556895</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-573405</wp:posOffset>
            </wp:positionV>
            <wp:extent cx="1117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-556895</wp:posOffset>
            </wp:positionV>
            <wp:extent cx="1117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-573405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-556895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-573405</wp:posOffset>
            </wp:positionV>
            <wp:extent cx="1543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-556895</wp:posOffset>
            </wp:positionV>
            <wp:extent cx="1543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Year-to-date net sales totaled $289.9 million, representing an increase of $21.0 million, or 8%, in the comparable prior year period. The year-over-year increase in net sales was primarily driven by $8.3 million of pricing (including $1.9 million of customer recoveries for tariffs), $5.6 million of higher demand, $4.4 million in net new program launches and $2.6 million of favorable mix and content per vehicle.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Year-to-date gross profit was $49.1 million, compared with $36.1 million in the comparable prior year period. Despite unfavorable changes in foreign currency exchange rates of $2.1 million and incremental tariff costs of $1.9 million, gross profit margin improved year-over-year from 13.4% to 16.9%, a 350 basis point improvement. Material costs increased $9.7 million on higher production levels while labor and overhead costs decreased $1.8 million. Lower year-over-year conversion costs on higher sales reflect our focused efforts to manage our cost structure, which includes a $3.0 million labor cost benefit from completed restructuring actions. Annual merit increases of $2.3 million and incremental freight &amp; logistics costs of $0.4 million (due to supply chain disruptions) were offset by reduced aftermarket royalty costs on reduced demand and a $0.5 million lower provision for annual bonuses.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administrative, and engineering expenses were 11.6% of sales for the six months ended December 28, 2025, compared with 10.7% in the prior year period. Year-to-date expenses were $33.7 million, a $4.9 million increase year-over-year. The increase in costs reflects efforts to improve our cost structure including one-time restructuring and voluntary retirement costs of $1.3 million ($0.3 million in the prior year period) and $1.0 million of business transformation costs ($0.2 million in the prior year period). Higher incentive compensation cost of $0.7 million and $1.6 million associated with headcount additions were partially offset by reduced executive transition costs of $1.6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$1.0 million due to increased levels of cash and cash equivalents, which are invested in overnight money market funds. Interest expense decreased $0.3 million, the result of the repayment of amounts outstanding under revolving credit agreements.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was $1.4 million of income in the current period compared to $0.4 million of expense in the prior year. Changes in other income (expense), reflect foreign currency transaction gains and losses, changes in the fair value of peso forward contracts and non-service post-employment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9" w:name="page20"/>
    <w:bookmarkEnd w:id="1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income tax rate was 22.2% and 27.0% for the year-to-date period of fiscal 2026 and 2025, respectively. The higher effective tax rate in the prior year period was impacted by the foreign tax rate differential and a limitation on the utilization of our foreign tax credits on non-deductible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28, 2025, we had $99.0 million of cash and cash equivalents, of which $3.6 million was held by our foreign subsidiaries. Excess cash is held in money market funds. The following table summarizes our cash flows provided by (used in) operating, investing and financing activities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20" w:type="dxa"/>
            <w:vAlign w:val="bottom"/>
            <w:gridSpan w:val="6"/>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5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December 29, 2024</w:t>
            </w:r>
          </w:p>
        </w:tc>
        <w:tc>
          <w:tcPr>
            <w:tcW w:w="100" w:type="dxa"/>
            <w:vAlign w:val="bottom"/>
          </w:tcPr>
          <w:p>
            <w:pPr>
              <w:spacing w:after="0"/>
              <w:rPr>
                <w:sz w:val="12"/>
                <w:szCs w:val="12"/>
                <w:color w:val="auto"/>
              </w:rPr>
            </w:pPr>
          </w:p>
        </w:tc>
      </w:tr>
      <w:tr>
        <w:trPr>
          <w:trHeight w:val="209"/>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5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19"/>
                <w:szCs w:val="19"/>
                <w:color w:val="auto"/>
              </w:rPr>
            </w:pP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flow from operations was $25.2 million, and increase of $4.4 million compared with the prior year. Cash provided by operating activities for the year-to-date period of fiscal 2026 reflects cash earnings against flat operating assets and liabilities. Year-to-date cash flow from operations in both periods reflects the payment of annual short-term incentive compensation earned in the prior year and a replenishment of our inventory balance partially offset by the collection of receivables. Cash used in investing activities, which includes capital expenditures to support customer programs and modernization of equipment was $3.9 million year-to-date compared with $3.0 million in the prior year period. Current year net cash used in financing activities resulted from the repayment of $5.5 million under the joint venture revolving credit agreement during fiscal 2026 and the payment of $1.3 million for taxes withheld related to the vesting of share-based awards.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28, 2025, no borrowings were outstanding under the $40.0 million Amended &amp; Restated Credit Agreement and $2.5 million was outstanding under the $18.0 million joint venture revolving credit agreement. The Company was in compliance with all covenants under its credit facilities at December 28, 2025.</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revolving credit lines, combined with our existing cash and anticipated operating cash flows will be adequate to meet operating, debt service and capital expenditure funding requirements in both the short term and beyond.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Primary Working Capital Management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primary working capital as a percentage of sales (PWC %) as a key metric of working capital management. We define this metric as the sum of net accounts receivable and net inventory less accounts payable, divided by the past three months sales annualized. The following table shows a comparison of primary working capital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PWC %</w:t>
            </w:r>
          </w:p>
        </w:tc>
        <w:tc>
          <w:tcPr>
            <w:tcW w:w="2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220" w:type="dxa"/>
            <w:vAlign w:val="bottom"/>
            <w:vMerge w:val="restart"/>
          </w:tcPr>
          <w:p>
            <w:pPr>
              <w:spacing w:after="0"/>
              <w:rPr>
                <w:sz w:val="13"/>
                <w:szCs w:val="13"/>
                <w:color w:val="auto"/>
              </w:rPr>
            </w:pP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PWC %</w:t>
            </w:r>
          </w:p>
        </w:tc>
        <w:tc>
          <w:tcPr>
            <w:tcW w:w="2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primary working 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1460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Primary working capital levels at December 28, 2025 were consistent with the beginning of the fiscal year, as we increased inventory levels $7.2 million to improve customer deliveries, which was offset by reduced accounts receivable of $12.9 million on sequentially lower sales and a $6.3 million reduction in accounts payable due to timing of inventory purchases and payments.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15"/>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Company’s reports filed or submitted under the Exchange Act, are recorded, processed, summarized and reported within the time periods specified in the Securities and Exchange Commission’s rules and forms, and that the information required to be disclosed by the Company in reports that it files or submits under the Exchange Act are accumulated and communicated to our management, including our Chief Executive Officer and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this evaluation, our Chief Executive Officer and Chief Financial Officer concluded that, as of the end of such period, our disclosure controls and procedures were effective at reaching a level of reasonable assurance. It should be noted that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We have designed our disclosure controls and procedures to reach a level of reasonable assurance of achieving the desired control objectives.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during our most recently completed fiscal quarter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involved in various legal proceedings from time to time. We do not believe we are currently involved in any claim or action the ultimate disposition of which would have a material adverse effect on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An investment in our Common Stock involves risks. Before making an investment decision, you should carefully consider all of the information in this Quarterly Report, including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If any of the identified risks are realized, our business, financial condition and operating results could be materially and adversely affected. In that case, the trading price of our Common Stock may decline. In addition, other risks of which we are currently unaware, or which we currently do not view as material, could have a material adverse effect on our business, financial condition and operating results. There have been no material changes to the risk factors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29, 2025 filed with the SEC on August 25, 2025.</w:t>
      </w:r>
    </w:p>
    <w:p>
      <w:pPr>
        <w:spacing w:after="0" w:line="302" w:lineRule="exact"/>
        <w:rPr>
          <w:sz w:val="20"/>
          <w:szCs w:val="20"/>
          <w:color w:val="auto"/>
        </w:rPr>
      </w:pPr>
    </w:p>
    <w:p>
      <w:pPr>
        <w:ind w:left="720" w:right="1920" w:hanging="719"/>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initially authorized a stock repurchase program on October 16, 1996. The Board of Directors has periodically increased the number of shares authorized for repurchase under the program, most recently in August 2008. The program currently authorizes the repurchase of up to 3,839,395 shares of our common stock from time to time, directly or through brokers or agents, and has no expiration date. Over the life of the repurchase program through December 28, 2025, a total of 3,655,322 shares have been repurchased at a cost of approximately $136.4 million. Currently, 184,073 shares remain available to be repurchased under the program. No shares were repurchased during the six month period ended December 28,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Trading Plans.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28, 2025, no director or officer of the Company adopted or terminated a “Rule 10b5-1 trading arrangement” or “non-Rule 10b5-1 trading arrangement,” as each term is defined in Item 408(a) of Regulation S-K.</w:t>
      </w:r>
    </w:p>
    <w:p>
      <w:pPr>
        <w:sectPr>
          <w:pgSz w:w="11900" w:h="16838" w:orient="portrait"/>
          <w:cols w:equalWidth="0" w:num="1">
            <w:col w:w="11240"/>
          </w:cols>
          <w:pgMar w:left="320" w:top="981"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Exhibit</w:t>
            </w:r>
          </w:p>
        </w:tc>
        <w:tc>
          <w:tcPr>
            <w:tcW w:w="11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48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320" w:type="dxa"/>
            <w:vAlign w:val="bottom"/>
          </w:tcPr>
          <w:p>
            <w:pPr>
              <w:spacing w:after="0"/>
              <w:rPr>
                <w:sz w:val="24"/>
                <w:szCs w:val="24"/>
                <w:color w:val="auto"/>
              </w:rPr>
            </w:pPr>
          </w:p>
        </w:tc>
        <w:tc>
          <w:tcPr>
            <w:tcW w:w="606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Amended &amp; Restated Credit Agreement, dated October 27, 2025, between the Company and</w:t>
              </w:r>
            </w:hyperlink>
          </w:p>
        </w:tc>
        <w:tc>
          <w:tcPr>
            <w:tcW w:w="0" w:type="dxa"/>
            <w:vAlign w:val="bottom"/>
          </w:tcPr>
          <w:p>
            <w:pPr>
              <w:spacing w:after="0"/>
              <w:rPr>
                <w:sz w:val="1"/>
                <w:szCs w:val="1"/>
                <w:color w:val="auto"/>
              </w:rPr>
            </w:pPr>
          </w:p>
        </w:tc>
      </w:tr>
      <w:tr>
        <w:trPr>
          <w:trHeight w:val="109"/>
        </w:trPr>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vMerge w:val="restart"/>
          </w:tcPr>
          <w:p>
            <w:pPr>
              <w:spacing w:after="0" w:line="183"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BMO Harris N.A.</w:t>
              </w:r>
            </w:hyperlink>
          </w:p>
        </w:tc>
        <w:tc>
          <w:tcPr>
            <w:tcW w:w="488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Borders>
              <w:bottom w:val="single" w:sz="8" w:color="0000FF"/>
            </w:tcBorders>
            <w:vMerge w:val="continue"/>
          </w:tcPr>
          <w:p>
            <w:pPr>
              <w:spacing w:after="0"/>
              <w:rPr>
                <w:sz w:val="6"/>
                <w:szCs w:val="6"/>
                <w:color w:val="auto"/>
              </w:rPr>
            </w:pPr>
          </w:p>
        </w:tc>
        <w:tc>
          <w:tcPr>
            <w:tcW w:w="4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8"/>
        </w:trPr>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320" w:type="dxa"/>
            <w:vAlign w:val="bottom"/>
          </w:tcPr>
          <w:p>
            <w:pPr>
              <w:spacing w:after="0"/>
              <w:rPr>
                <w:sz w:val="24"/>
                <w:szCs w:val="24"/>
                <w:color w:val="auto"/>
              </w:rPr>
            </w:pPr>
          </w:p>
        </w:tc>
        <w:tc>
          <w:tcPr>
            <w:tcW w:w="4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Rule 13a-14(a) Certification of Jennifer L. Slater, Chief Executive Officer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320" w:type="dxa"/>
            <w:vAlign w:val="bottom"/>
          </w:tcPr>
          <w:p>
            <w:pPr>
              <w:spacing w:after="0"/>
              <w:rPr>
                <w:sz w:val="24"/>
                <w:szCs w:val="24"/>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Rule 13a-14(a) Certification of Matthew Pauli, Chief Financial Officer</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4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1000" w:hanging="634"/>
        <w:spacing w:after="0"/>
        <w:tabs>
          <w:tab w:leader="none" w:pos="10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18 U.S.C. 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-4445</wp:posOffset>
            </wp:positionV>
            <wp:extent cx="15570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5570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Interactive Data Files pursuant to Rule 405 of Regulation S-T. XBRL Instance Document – the</w:t>
      </w:r>
    </w:p>
    <w:p>
      <w:pPr>
        <w:spacing w:after="0" w:line="26" w:lineRule="exact"/>
        <w:rPr>
          <w:sz w:val="20"/>
          <w:szCs w:val="20"/>
          <w:color w:val="auto"/>
        </w:rPr>
      </w:pPr>
    </w:p>
    <w:p>
      <w:pPr>
        <w:ind w:left="1000" w:hanging="675"/>
        <w:spacing w:after="0" w:line="288" w:lineRule="auto"/>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XBRL Instance Document does not appear in the Interactive Data File because its XBRL tags are embedded within the Inline XBRL document.</w:t>
      </w:r>
    </w:p>
    <w:p>
      <w:pPr>
        <w:spacing w:after="0" w:line="172" w:lineRule="exact"/>
        <w:rPr>
          <w:sz w:val="20"/>
          <w:szCs w:val="20"/>
          <w:color w:val="auto"/>
        </w:rPr>
      </w:pPr>
    </w:p>
    <w:p>
      <w:pPr>
        <w:ind w:left="1000" w:right="420" w:hanging="675"/>
        <w:spacing w:after="0" w:line="183" w:lineRule="auto"/>
        <w:tabs>
          <w:tab w:leader="none" w:pos="1000" w:val="left"/>
        </w:tabs>
        <w:numPr>
          <w:ilvl w:val="0"/>
          <w:numId w:val="6"/>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The cover page from the Company’s Quarterly Report on Form 10-Q for the quarter ended December 28, 2025 has been formatted in Inline XBRL.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19" w:right="80"/>
        <w:spacing w:after="0" w:line="298" w:lineRule="auto"/>
        <w:rPr>
          <w:sz w:val="20"/>
          <w:szCs w:val="20"/>
          <w:color w:val="auto"/>
        </w:rPr>
      </w:pPr>
      <w:r>
        <w:rPr>
          <w:rFonts w:ascii="Times New Roman" w:cs="Times New Roman" w:eastAsia="Times New Roman" w:hAnsi="Times New Roman"/>
          <w:sz w:val="16"/>
          <w:szCs w:val="16"/>
          <w:u w:val="single" w:color="auto"/>
          <w:color w:val="auto"/>
        </w:rPr>
        <w:t>If Incorporated by Reference, Documents with Which Exhibit was Previously Filed with SEC</w:t>
      </w:r>
    </w:p>
    <w:p>
      <w:pPr>
        <w:spacing w:after="0" w:line="164"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Current Report on Form 8-K (filed on October 30, 2025; Exhibit 10.1 therein)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2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This certification is not “filed” for purposes of Section 18 of the Securities Exchange Act of 1934, as amended, or incorporated by reference into any filing under the Securities Act of 1933, as amended, or the Securities Exchange Act of 1934, as amended.</w:t>
      </w:r>
    </w:p>
    <w:p>
      <w:pPr>
        <w:spacing w:after="0" w:line="1513" w:lineRule="exact"/>
        <w:rPr>
          <w:sz w:val="20"/>
          <w:szCs w:val="20"/>
          <w:color w:val="auto"/>
        </w:rPr>
      </w:pPr>
    </w:p>
    <w:p>
      <w:pPr>
        <w:sectPr>
          <w:pgSz w:w="11900" w:h="16838" w:orient="portrait"/>
          <w:cols w:equalWidth="0" w:num="2">
            <w:col w:w="7320" w:space="200"/>
            <w:col w:w="3720"/>
          </w:cols>
          <w:pgMar w:left="320" w:top="981" w:right="339" w:bottom="1440" w:gutter="0" w:footer="0" w:header="0"/>
          <w:type w:val="continuous"/>
        </w:sectPr>
      </w:pP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Strattec Security Corporation (Registrant)</w:t>
            </w:r>
          </w:p>
        </w:tc>
      </w:tr>
      <w:tr>
        <w:trPr>
          <w:trHeight w:val="45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2026</w:t>
            </w:r>
          </w:p>
        </w:tc>
        <w:tc>
          <w:tcPr>
            <w:tcW w:w="76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By:  /s/ Matthew Pauli</w:t>
            </w:r>
          </w:p>
        </w:tc>
      </w:tr>
      <w:tr>
        <w:trPr>
          <w:trHeight w:val="191"/>
        </w:trPr>
        <w:tc>
          <w:tcPr>
            <w:tcW w:w="36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Pauli</w:t>
            </w:r>
          </w:p>
        </w:tc>
      </w:tr>
      <w:tr>
        <w:trPr>
          <w:trHeight w:val="216"/>
        </w:trPr>
        <w:tc>
          <w:tcPr>
            <w:tcW w:w="36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36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Secretary and Treasurer</w:t>
            </w:r>
          </w:p>
        </w:tc>
      </w:tr>
      <w:tr>
        <w:trPr>
          <w:trHeight w:val="234"/>
        </w:trPr>
        <w:tc>
          <w:tcPr>
            <w:tcW w:w="36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600" w:type="dxa"/>
            <w:vAlign w:val="bottom"/>
          </w:tcPr>
          <w:p>
            <w:pPr>
              <w:spacing w:after="0"/>
              <w:rPr>
                <w:sz w:val="24"/>
                <w:szCs w:val="24"/>
                <w:color w:val="auto"/>
              </w:rPr>
            </w:pPr>
          </w:p>
        </w:tc>
        <w:tc>
          <w:tcPr>
            <w:tcW w:w="3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24</w:t>
            </w:r>
          </w:p>
        </w:tc>
        <w:tc>
          <w:tcPr>
            <w:tcW w:w="4300" w:type="dxa"/>
            <w:vAlign w:val="bottom"/>
          </w:tcPr>
          <w:p>
            <w:pPr>
              <w:spacing w:after="0"/>
              <w:rPr>
                <w:sz w:val="24"/>
                <w:szCs w:val="24"/>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EXECUTIVE OFFICER</w:t>
      </w:r>
    </w:p>
    <w:p>
      <w:pPr>
        <w:jc w:val="cente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Jennifer L. Slater, certify that:</w:t>
      </w:r>
    </w:p>
    <w:p>
      <w:pPr>
        <w:spacing w:after="0" w:line="22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right="40" w:firstLine="8"/>
        <w:spacing w:after="0" w:line="254" w:lineRule="auto"/>
        <w:tabs>
          <w:tab w:leader="none" w:pos="50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160" w:firstLine="8"/>
        <w:spacing w:after="0" w:line="295" w:lineRule="auto"/>
        <w:tabs>
          <w:tab w:leader="none" w:pos="50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right="20" w:firstLine="8"/>
        <w:spacing w:after="0" w:line="254" w:lineRule="auto"/>
        <w:tabs>
          <w:tab w:leader="none" w:pos="50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ind w:left="1020" w:right="100" w:hanging="503"/>
        <w:spacing w:after="0" w:line="254" w:lineRule="auto"/>
        <w:tabs>
          <w:tab w:leader="none" w:pos="10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1020" w:right="280" w:hanging="503"/>
        <w:spacing w:after="0" w:line="254" w:lineRule="auto"/>
        <w:tabs>
          <w:tab w:leader="none" w:pos="10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1020" w:hanging="503"/>
        <w:spacing w:after="0" w:line="254" w:lineRule="auto"/>
        <w:tabs>
          <w:tab w:leader="none" w:pos="10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1020" w:right="40" w:hanging="503"/>
        <w:spacing w:after="0" w:line="254" w:lineRule="auto"/>
        <w:tabs>
          <w:tab w:leader="none" w:pos="10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left="520" w:right="280" w:hanging="512"/>
        <w:spacing w:after="0" w:line="254" w:lineRule="auto"/>
        <w:tabs>
          <w:tab w:leader="none" w:pos="5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1020" w:right="140" w:hanging="503"/>
        <w:spacing w:after="0" w:line="254" w:lineRule="auto"/>
        <w:tabs>
          <w:tab w:leader="none" w:pos="10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1020" w:right="180" w:hanging="503"/>
        <w:spacing w:after="0" w:line="269" w:lineRule="auto"/>
        <w:tabs>
          <w:tab w:leader="none" w:pos="10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6, 2026</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Jennifer L.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-24765</wp:posOffset>
            </wp:positionV>
            <wp:extent cx="15074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Jennifer L. Slater,</w:t>
      </w:r>
    </w:p>
    <w:p>
      <w:pPr>
        <w:ind w:left="52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FINANCIAL OFFICER</w:t>
      </w:r>
    </w:p>
    <w:p>
      <w:pPr>
        <w:jc w:val="cente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Matthew Pauli, certify that:</w:t>
      </w:r>
    </w:p>
    <w:p>
      <w:pPr>
        <w:spacing w:after="0" w:line="22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right="40" w:firstLine="8"/>
        <w:spacing w:after="0" w:line="254" w:lineRule="auto"/>
        <w:tabs>
          <w:tab w:leader="none" w:pos="50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160" w:firstLine="8"/>
        <w:spacing w:after="0" w:line="295" w:lineRule="auto"/>
        <w:tabs>
          <w:tab w:leader="none" w:pos="5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right="20" w:firstLine="8"/>
        <w:spacing w:after="0" w:line="254" w:lineRule="auto"/>
        <w:tabs>
          <w:tab w:leader="none" w:pos="50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Times New Roman" w:cs="Times New Roman" w:eastAsia="Times New Roman" w:hAnsi="Times New Roman"/>
          <w:sz w:val="20"/>
          <w:szCs w:val="20"/>
          <w:color w:val="auto"/>
        </w:rPr>
      </w:pPr>
    </w:p>
    <w:p>
      <w:pPr>
        <w:ind w:left="520" w:right="180" w:hanging="3"/>
        <w:spacing w:after="0" w:line="254" w:lineRule="auto"/>
        <w:tabs>
          <w:tab w:leader="none" w:pos="10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520" w:right="200" w:hanging="3"/>
        <w:spacing w:after="0" w:line="254" w:lineRule="auto"/>
        <w:tabs>
          <w:tab w:leader="none" w:pos="10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520" w:right="380" w:hanging="3"/>
        <w:spacing w:after="0" w:line="254" w:lineRule="auto"/>
        <w:tabs>
          <w:tab w:leader="none" w:pos="10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520" w:right="40" w:hanging="3"/>
        <w:spacing w:after="0" w:line="254" w:lineRule="auto"/>
        <w:tabs>
          <w:tab w:leader="none" w:pos="10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right="420" w:firstLine="8"/>
        <w:spacing w:after="0" w:line="254" w:lineRule="auto"/>
        <w:tabs>
          <w:tab w:leader="none" w:pos="50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520" w:right="140" w:hanging="3"/>
        <w:spacing w:after="0" w:line="295" w:lineRule="auto"/>
        <w:tabs>
          <w:tab w:leader="none" w:pos="1029"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9"/>
          <w:szCs w:val="19"/>
          <w:color w:val="auto"/>
        </w:rPr>
      </w:pPr>
    </w:p>
    <w:p>
      <w:pPr>
        <w:ind w:left="520" w:right="180" w:hanging="3"/>
        <w:spacing w:after="0" w:line="269" w:lineRule="auto"/>
        <w:tabs>
          <w:tab w:leader="none" w:pos="10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6, 2026</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Matthew Pauli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-24765</wp:posOffset>
            </wp:positionV>
            <wp:extent cx="12560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Matthew Pauli,</w:t>
      </w:r>
    </w:p>
    <w:p>
      <w:pPr>
        <w:ind w:left="52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6" w:name="page27"/>
    <w:bookmarkEnd w:id="26"/>
    <w:p>
      <w:pPr>
        <w:ind w:left="8580"/>
        <w:spacing w:after="0"/>
        <w:rPr>
          <w:sz w:val="20"/>
          <w:szCs w:val="20"/>
          <w:color w:val="auto"/>
        </w:rPr>
      </w:pPr>
      <w:r>
        <w:rPr>
          <w:rFonts w:ascii="Times New Roman" w:cs="Times New Roman" w:eastAsia="Times New Roman" w:hAnsi="Times New Roman"/>
          <w:sz w:val="20"/>
          <w:szCs w:val="20"/>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of Periodic Financial Report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spacing w:after="0" w:line="200" w:lineRule="exact"/>
        <w:rPr>
          <w:sz w:val="20"/>
          <w:szCs w:val="20"/>
          <w:color w:val="auto"/>
        </w:rPr>
      </w:pPr>
    </w:p>
    <w:p>
      <w:pPr>
        <w:spacing w:after="0" w:line="23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Pursuant to 18 U.S.C. Section 1350, as adopted pursuant to Section 906 of the Sarbanes-Oxley Act of 2002, each of the undersigned officers of STRATTEC SECURITY CORPORATION (the "Company") certifies that the Quarterly Report on Form 10-Q of the Company for the quarter ended December 28, 2025 fully complies with the requirements of Section 13(a) of the Securities Exchange Act of 1934 and information contained in that Form 10-Q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Dated: February 6, 2026</w:t>
            </w: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7"/>
              </w:rPr>
              <w:t>/s/ Jennifer L. Slater</w:t>
            </w:r>
          </w:p>
        </w:tc>
        <w:tc>
          <w:tcPr>
            <w:tcW w:w="300" w:type="dxa"/>
            <w:vAlign w:val="bottom"/>
          </w:tcPr>
          <w:p>
            <w:pPr>
              <w:spacing w:after="0"/>
              <w:rPr>
                <w:sz w:val="19"/>
                <w:szCs w:val="19"/>
                <w:color w:val="auto"/>
              </w:rPr>
            </w:pPr>
          </w:p>
        </w:tc>
      </w:tr>
      <w:tr>
        <w:trPr>
          <w:trHeight w:val="227"/>
        </w:trPr>
        <w:tc>
          <w:tcPr>
            <w:tcW w:w="5860" w:type="dxa"/>
            <w:vAlign w:val="bottom"/>
          </w:tcPr>
          <w:p>
            <w:pPr>
              <w:spacing w:after="0"/>
              <w:rPr>
                <w:sz w:val="19"/>
                <w:szCs w:val="19"/>
                <w:color w:val="auto"/>
              </w:rPr>
            </w:pPr>
          </w:p>
        </w:tc>
        <w:tc>
          <w:tcPr>
            <w:tcW w:w="19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Jennifer L. Slater,</w:t>
            </w:r>
          </w:p>
        </w:tc>
      </w:tr>
      <w:tr>
        <w:trPr>
          <w:trHeight w:val="258"/>
        </w:trPr>
        <w:tc>
          <w:tcPr>
            <w:tcW w:w="586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Chief Executive Officer</w:t>
            </w:r>
          </w:p>
        </w:tc>
      </w:tr>
      <w:tr>
        <w:trPr>
          <w:trHeight w:val="615"/>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Dated: February 6, 2026</w:t>
            </w: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Matthew Pauli</w:t>
            </w:r>
          </w:p>
        </w:tc>
      </w:tr>
      <w:tr>
        <w:trPr>
          <w:trHeight w:val="227"/>
        </w:trPr>
        <w:tc>
          <w:tcPr>
            <w:tcW w:w="5860" w:type="dxa"/>
            <w:vAlign w:val="bottom"/>
          </w:tcPr>
          <w:p>
            <w:pPr>
              <w:spacing w:after="0"/>
              <w:rPr>
                <w:sz w:val="19"/>
                <w:szCs w:val="19"/>
                <w:color w:val="auto"/>
              </w:rPr>
            </w:pPr>
          </w:p>
        </w:tc>
        <w:tc>
          <w:tcPr>
            <w:tcW w:w="138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Matthew Pauli,</w:t>
            </w:r>
          </w:p>
        </w:tc>
        <w:tc>
          <w:tcPr>
            <w:tcW w:w="520" w:type="dxa"/>
            <w:vAlign w:val="bottom"/>
            <w:gridSpan w:val="2"/>
          </w:tcPr>
          <w:p>
            <w:pPr>
              <w:spacing w:after="0"/>
              <w:rPr>
                <w:sz w:val="19"/>
                <w:szCs w:val="19"/>
                <w:color w:val="auto"/>
              </w:rPr>
            </w:pPr>
          </w:p>
        </w:tc>
      </w:tr>
      <w:tr>
        <w:trPr>
          <w:trHeight w:val="258"/>
        </w:trPr>
        <w:tc>
          <w:tcPr>
            <w:tcW w:w="586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30"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20"/>
          <w:szCs w:val="20"/>
          <w:color w:val="auto"/>
        </w:rPr>
        <w:t>This certification is made solely for purpose of 18 U.S.C. Section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1268730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32"/>
    </w:lvl>
  </w:abstractNum>
  <w:abstractNum w:abstractNumId="4">
    <w:nsid w:val="2EB141F2"/>
    <w:multiLevelType w:val="hybridMultilevel"/>
    <w:lvl w:ilvl="0">
      <w:lvlJc w:val="left"/>
      <w:lvlText w:val="%1"/>
      <w:numFmt w:val="decimal"/>
      <w:start w:val="101"/>
    </w:lvl>
  </w:abstractNum>
  <w:abstractNum w:abstractNumId="5">
    <w:nsid w:val="41B71EFB"/>
    <w:multiLevelType w:val="hybridMultilevel"/>
    <w:lvl w:ilvl="0">
      <w:lvlJc w:val="left"/>
      <w:lvlText w:val="%1"/>
      <w:numFmt w:val="decimal"/>
      <w:start w:val="104"/>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30" Type="http://schemas.openxmlformats.org/officeDocument/2006/relationships/hyperlink" Target="https://www.sec.gov/Archives/edgar/data/933034/000119312525258802/str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2026-02-06T12:28:29Z</dcterms:created>
  <dcterms:modified xsi:type="dcterms:W3CDTF">2026-02-06T12:28:29Z</dcterms:modified>
</cp:coreProperties>
</file>