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FLORSHEIM THOMAS W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the later of (i) the 2027 annual meeting of shareholders of the Company or (ii) 50 weeks following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948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3220</Characters>
  <CharactersWithSpaces>3755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