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3256915</wp:posOffset>
            </wp:positionH>
            <wp:positionV relativeFrom="paragraph">
              <wp:posOffset>107315</wp:posOffset>
            </wp:positionV>
            <wp:extent cx="6565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590" cy="8890"/>
                    </a:xfrm>
                    <a:prstGeom prst="rect">
                      <a:avLst/>
                    </a:prstGeom>
                    <a:noFill/>
                  </pic:spPr>
                </pic:pic>
              </a:graphicData>
            </a:graphic>
          </wp:anchor>
        </w:drawing>
      </w:r>
    </w:p>
    <w:p>
      <w:pPr>
        <w:spacing w:after="0" w:line="3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3256915</wp:posOffset>
            </wp:positionH>
            <wp:positionV relativeFrom="paragraph">
              <wp:posOffset>125095</wp:posOffset>
            </wp:positionV>
            <wp:extent cx="656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STRATTEC SECURITY CORPORATION</w:t>
      </w:r>
    </w:p>
    <w:p>
      <w:pPr>
        <w:spacing w:after="0" w:line="65"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5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1600" w:type="dxa"/>
            <w:vAlign w:val="bottom"/>
          </w:tcPr>
          <w:p>
            <w:pPr>
              <w:spacing w:after="0"/>
              <w:rPr>
                <w:sz w:val="20"/>
                <w:szCs w:val="20"/>
                <w:color w:val="auto"/>
              </w:rPr>
            </w:pPr>
          </w:p>
        </w:tc>
      </w:tr>
      <w:tr>
        <w:trPr>
          <w:trHeight w:val="676"/>
        </w:trPr>
        <w:tc>
          <w:tcPr>
            <w:tcW w:w="1900" w:type="dxa"/>
            <w:vAlign w:val="bottom"/>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020" w:type="dxa"/>
            <w:vAlign w:val="bottom"/>
            <w:gridSpan w:val="2"/>
          </w:tcPr>
          <w:p>
            <w:pPr>
              <w:jc w:val="center"/>
              <w:ind w:left="2298"/>
              <w:spacing w:after="0"/>
              <w:rPr>
                <w:sz w:val="20"/>
                <w:szCs w:val="20"/>
                <w:color w:val="auto"/>
              </w:rPr>
            </w:pPr>
            <w:r>
              <w:rPr>
                <w:rFonts w:ascii="Times New Roman" w:cs="Times New Roman" w:eastAsia="Times New Roman" w:hAnsi="Times New Roman"/>
                <w:sz w:val="18"/>
                <w:szCs w:val="18"/>
                <w:b w:val="1"/>
                <w:bCs w:val="1"/>
                <w:color w:val="auto"/>
                <w:w w:val="99"/>
              </w:rPr>
              <w:t>0-25150</w:t>
            </w:r>
          </w:p>
        </w:tc>
        <w:tc>
          <w:tcPr>
            <w:tcW w:w="2320" w:type="dxa"/>
            <w:vAlign w:val="bottom"/>
          </w:tcPr>
          <w:p>
            <w:pPr>
              <w:spacing w:after="0"/>
              <w:rPr>
                <w:sz w:val="24"/>
                <w:szCs w:val="24"/>
                <w:color w:val="auto"/>
              </w:rPr>
            </w:pPr>
          </w:p>
        </w:tc>
        <w:tc>
          <w:tcPr>
            <w:tcW w:w="1600" w:type="dxa"/>
            <w:vAlign w:val="bottom"/>
          </w:tcPr>
          <w:p>
            <w:pPr>
              <w:jc w:val="center"/>
              <w:ind w:left="442"/>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48"/>
        </w:trPr>
        <w:tc>
          <w:tcPr>
            <w:tcW w:w="190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160" w:type="dxa"/>
            <w:vAlign w:val="bottom"/>
          </w:tcPr>
          <w:p>
            <w:pPr>
              <w:spacing w:after="0"/>
              <w:rPr>
                <w:sz w:val="12"/>
                <w:szCs w:val="12"/>
                <w:color w:val="auto"/>
              </w:rPr>
            </w:pPr>
          </w:p>
        </w:tc>
        <w:tc>
          <w:tcPr>
            <w:tcW w:w="3180" w:type="dxa"/>
            <w:vAlign w:val="bottom"/>
            <w:gridSpan w:val="2"/>
          </w:tcPr>
          <w:p>
            <w:pPr>
              <w:jc w:val="center"/>
              <w:ind w:right="208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1600" w:type="dxa"/>
            <w:vAlign w:val="bottom"/>
          </w:tcPr>
          <w:p>
            <w:pPr>
              <w:jc w:val="center"/>
              <w:ind w:left="46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900" w:type="dxa"/>
            <w:vAlign w:val="bottom"/>
          </w:tcPr>
          <w:p>
            <w:pPr>
              <w:jc w:val="center"/>
              <w:ind w:right="262"/>
              <w:spacing w:after="0"/>
              <w:rPr>
                <w:sz w:val="20"/>
                <w:szCs w:val="20"/>
                <w:color w:val="auto"/>
              </w:rPr>
            </w:pPr>
            <w:r>
              <w:rPr>
                <w:rFonts w:ascii="Times New Roman" w:cs="Times New Roman" w:eastAsia="Times New Roman" w:hAnsi="Times New Roman"/>
                <w:sz w:val="14"/>
                <w:szCs w:val="14"/>
                <w:color w:val="auto"/>
              </w:rPr>
              <w:t>of Incorporation)</w:t>
            </w:r>
          </w:p>
        </w:tc>
        <w:tc>
          <w:tcPr>
            <w:tcW w:w="2160" w:type="dxa"/>
            <w:vAlign w:val="bottom"/>
          </w:tcPr>
          <w:p>
            <w:pPr>
              <w:spacing w:after="0"/>
              <w:rPr>
                <w:sz w:val="16"/>
                <w:szCs w:val="16"/>
                <w:color w:val="auto"/>
              </w:rPr>
            </w:pPr>
          </w:p>
        </w:tc>
        <w:tc>
          <w:tcPr>
            <w:tcW w:w="318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rPr>
              <w:t>File Number)</w:t>
            </w:r>
          </w:p>
        </w:tc>
        <w:tc>
          <w:tcPr>
            <w:tcW w:w="1600" w:type="dxa"/>
            <w:vAlign w:val="bottom"/>
          </w:tcPr>
          <w:p>
            <w:pPr>
              <w:jc w:val="center"/>
              <w:ind w:left="44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54"/>
        </w:trPr>
        <w:tc>
          <w:tcPr>
            <w:tcW w:w="1900" w:type="dxa"/>
            <w:vAlign w:val="bottom"/>
          </w:tcPr>
          <w:p>
            <w:pPr>
              <w:spacing w:after="0"/>
              <w:rPr>
                <w:sz w:val="24"/>
                <w:szCs w:val="24"/>
                <w:color w:val="auto"/>
              </w:rPr>
            </w:pPr>
          </w:p>
        </w:tc>
        <w:tc>
          <w:tcPr>
            <w:tcW w:w="53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Wisconsin 53209</w:t>
            </w:r>
          </w:p>
        </w:tc>
        <w:tc>
          <w:tcPr>
            <w:tcW w:w="1600" w:type="dxa"/>
            <w:vAlign w:val="bottom"/>
          </w:tcPr>
          <w:p>
            <w:pPr>
              <w:spacing w:after="0"/>
              <w:rPr>
                <w:sz w:val="24"/>
                <w:szCs w:val="24"/>
                <w:color w:val="auto"/>
              </w:rPr>
            </w:pPr>
          </w:p>
        </w:tc>
      </w:tr>
      <w:tr>
        <w:trPr>
          <w:trHeight w:val="188"/>
        </w:trPr>
        <w:tc>
          <w:tcPr>
            <w:tcW w:w="1900" w:type="dxa"/>
            <w:vAlign w:val="bottom"/>
          </w:tcPr>
          <w:p>
            <w:pPr>
              <w:spacing w:after="0"/>
              <w:rPr>
                <w:sz w:val="16"/>
                <w:szCs w:val="16"/>
                <w:color w:val="auto"/>
              </w:rPr>
            </w:pPr>
          </w:p>
        </w:tc>
        <w:tc>
          <w:tcPr>
            <w:tcW w:w="5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1600" w:type="dxa"/>
            <w:vAlign w:val="bottom"/>
          </w:tcPr>
          <w:p>
            <w:pPr>
              <w:spacing w:after="0"/>
              <w:rPr>
                <w:sz w:val="16"/>
                <w:szCs w:val="16"/>
                <w:color w:val="auto"/>
              </w:rPr>
            </w:pPr>
          </w:p>
        </w:tc>
      </w:tr>
      <w:tr>
        <w:trPr>
          <w:trHeight w:val="284"/>
        </w:trPr>
        <w:tc>
          <w:tcPr>
            <w:tcW w:w="1900" w:type="dxa"/>
            <w:vAlign w:val="bottom"/>
          </w:tcPr>
          <w:p>
            <w:pPr>
              <w:spacing w:after="0"/>
              <w:rPr>
                <w:sz w:val="24"/>
                <w:szCs w:val="24"/>
                <w:color w:val="auto"/>
              </w:rPr>
            </w:pPr>
          </w:p>
        </w:tc>
        <w:tc>
          <w:tcPr>
            <w:tcW w:w="53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(414) 247-3333</w:t>
            </w:r>
          </w:p>
        </w:tc>
        <w:tc>
          <w:tcPr>
            <w:tcW w:w="1600" w:type="dxa"/>
            <w:vAlign w:val="bottom"/>
          </w:tcPr>
          <w:p>
            <w:pPr>
              <w:spacing w:after="0"/>
              <w:rPr>
                <w:sz w:val="24"/>
                <w:szCs w:val="24"/>
                <w:color w:val="auto"/>
              </w:rPr>
            </w:pPr>
          </w:p>
        </w:tc>
      </w:tr>
      <w:tr>
        <w:trPr>
          <w:trHeight w:val="188"/>
        </w:trPr>
        <w:tc>
          <w:tcPr>
            <w:tcW w:w="1900" w:type="dxa"/>
            <w:vAlign w:val="bottom"/>
          </w:tcPr>
          <w:p>
            <w:pPr>
              <w:spacing w:after="0"/>
              <w:rPr>
                <w:sz w:val="16"/>
                <w:szCs w:val="16"/>
                <w:color w:val="auto"/>
              </w:rPr>
            </w:pPr>
          </w:p>
        </w:tc>
        <w:tc>
          <w:tcPr>
            <w:tcW w:w="5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600" w:type="dxa"/>
            <w:vAlign w:val="bottom"/>
          </w:tcPr>
          <w:p>
            <w:pPr>
              <w:spacing w:after="0"/>
              <w:rPr>
                <w:sz w:val="16"/>
                <w:szCs w:val="16"/>
                <w:color w:val="auto"/>
              </w:rPr>
            </w:pPr>
          </w:p>
        </w:tc>
      </w:tr>
      <w:tr>
        <w:trPr>
          <w:trHeight w:val="445"/>
        </w:trPr>
        <w:tc>
          <w:tcPr>
            <w:tcW w:w="1900" w:type="dxa"/>
            <w:vAlign w:val="bottom"/>
          </w:tcPr>
          <w:p>
            <w:pPr>
              <w:spacing w:after="0"/>
              <w:rPr>
                <w:sz w:val="24"/>
                <w:szCs w:val="24"/>
                <w:color w:val="auto"/>
              </w:rPr>
            </w:pPr>
          </w:p>
        </w:tc>
        <w:tc>
          <w:tcPr>
            <w:tcW w:w="5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600" w:type="dxa"/>
            <w:vAlign w:val="bottom"/>
          </w:tcPr>
          <w:p>
            <w:pPr>
              <w:spacing w:after="0"/>
              <w:rPr>
                <w:sz w:val="24"/>
                <w:szCs w:val="24"/>
                <w:color w:val="auto"/>
              </w:rPr>
            </w:pPr>
          </w:p>
        </w:tc>
      </w:tr>
      <w:tr>
        <w:trPr>
          <w:trHeight w:val="118"/>
        </w:trPr>
        <w:tc>
          <w:tcPr>
            <w:tcW w:w="19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r>
    </w:tbl>
    <w:p>
      <w:pPr>
        <w:spacing w:after="0" w:line="21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0" w:lineRule="exact"/>
        <w:rPr>
          <w:sz w:val="24"/>
          <w:szCs w:val="24"/>
          <w:color w:val="auto"/>
        </w:rPr>
      </w:pPr>
    </w:p>
    <w:tbl>
      <w:tblPr>
        <w:tblLayout w:type="fixed"/>
        <w:tblInd w:w="1240" w:type="dxa"/>
        <w:tblCellMar>
          <w:top w:w="0" w:type="dxa"/>
          <w:left w:w="0" w:type="dxa"/>
          <w:bottom w:w="0" w:type="dxa"/>
          <w:right w:w="0" w:type="dxa"/>
        </w:tblCellMar>
      </w:tblPr>
      <w:tr>
        <w:trPr>
          <w:trHeight w:val="212"/>
        </w:trPr>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47"/>
        </w:trPr>
        <w:tc>
          <w:tcPr>
            <w:tcW w:w="292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60" w:type="dxa"/>
            <w:vAlign w:val="bottom"/>
            <w:vMerge w:val="restart"/>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4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STRT</w:t>
            </w:r>
          </w:p>
        </w:tc>
        <w:tc>
          <w:tcPr>
            <w:tcW w:w="260" w:type="dxa"/>
            <w:vAlign w:val="bottom"/>
            <w:vMerge w:val="continue"/>
          </w:tcPr>
          <w:p>
            <w:pPr>
              <w:spacing w:after="0"/>
              <w:rPr>
                <w:sz w:val="17"/>
                <w:szCs w:val="17"/>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Stock Market</w:t>
            </w:r>
          </w:p>
        </w:tc>
        <w:tc>
          <w:tcPr>
            <w:tcW w:w="0" w:type="dxa"/>
            <w:vAlign w:val="bottom"/>
          </w:tcPr>
          <w:p>
            <w:pPr>
              <w:spacing w:after="0"/>
              <w:rPr>
                <w:sz w:val="1"/>
                <w:szCs w:val="1"/>
                <w:color w:val="auto"/>
              </w:rPr>
            </w:pPr>
          </w:p>
        </w:tc>
      </w:tr>
    </w:tbl>
    <w:p>
      <w:pPr>
        <w:spacing w:after="0" w:line="25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5" w:right="47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55"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1"/>
          <w:szCs w:val="21"/>
          <w:color w:val="auto"/>
        </w:rPr>
        <w:t>On May 28, 2026, Strattec Security Corporation (the “Company”) announced that its Board of Directors has authorized a new share repurchase program to purchase up to $40.0 million of the Company’s outstanding common stock. This share repurchase program replaces the Company’s previous share repurchase program, which had been initiated in 1996 and was terminated in connection with the authorization of the new program.</w:t>
      </w:r>
    </w:p>
    <w:p>
      <w:pPr>
        <w:spacing w:after="0" w:line="2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Under the share repurchase program, the Company may repurchase shares of its common stock from time to time through open market repurchases, privately negotiated transactions, or other means, including pursuant to Rule 10b5-1 trading plans. The timing and number of shares repurchased will depend on a variety of factors, including stock price, trading volume, and general business and market conditions. The share repurchase program does not obligate the Company to repurchase any of its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copy of the press release announcing the share repurchase program is furnished hereto as Exhibit 99.1.</w:t>
      </w:r>
    </w:p>
    <w:p>
      <w:pPr>
        <w:spacing w:after="0" w:line="27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The information contained in this Item 7.01 and in Exhibit 99.1 to this Current Report on Form 8-K shall not be deemed “filed” for purposes of Section 18 of the Securities Exchange Act of 1934, as amended (the “Exchange Act”), nor shall it be deemed incorporated by reference in any filing under the Securities Act of 1933, as amended, or the Exchange Act, regardless of any general incorporation language in such filing, unless expressly incorporated by reference into such filing.</w:t>
      </w:r>
    </w:p>
    <w:p>
      <w:pPr>
        <w:spacing w:after="0" w:line="200" w:lineRule="exact"/>
        <w:rPr>
          <w:sz w:val="20"/>
          <w:szCs w:val="20"/>
          <w:color w:val="auto"/>
        </w:rPr>
      </w:pPr>
    </w:p>
    <w:p>
      <w:pPr>
        <w:spacing w:after="0" w:line="25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382" w:lineRule="exact"/>
        <w:rPr>
          <w:sz w:val="20"/>
          <w:szCs w:val="20"/>
          <w:color w:val="auto"/>
        </w:rPr>
      </w:pPr>
    </w:p>
    <w:p>
      <w:pPr>
        <w:ind w:left="220" w:right="9740" w:hanging="212"/>
        <w:spacing w:after="0" w:line="390" w:lineRule="auto"/>
        <w:tabs>
          <w:tab w:leader="none" w:pos="407"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Exhibits</w:t>
      </w:r>
      <w:r>
        <w:rPr>
          <w:rFonts w:ascii="Times New Roman" w:cs="Times New Roman" w:eastAsia="Times New Roman" w:hAnsi="Times New Roman"/>
          <w:sz w:val="19"/>
          <w:szCs w:val="19"/>
          <w:color w:val="auto"/>
        </w:rPr>
        <w:t xml:space="preserve">. Exhibit </w:t>
      </w:r>
      <w:r>
        <w:rPr>
          <w:rFonts w:ascii="Times New Roman" w:cs="Times New Roman" w:eastAsia="Times New Roman" w:hAnsi="Times New Roman"/>
          <w:sz w:val="19"/>
          <w:szCs w:val="19"/>
          <w:u w:val="single" w:color="auto"/>
          <w:color w:val="auto"/>
        </w:rPr>
        <w:t>Number</w:t>
      </w:r>
    </w:p>
    <w:tbl>
      <w:tblPr>
        <w:tblLayout w:type="fixed"/>
        <w:tblInd w:w="0" w:type="dxa"/>
        <w:tblCellMar>
          <w:top w:w="0" w:type="dxa"/>
          <w:left w:w="0" w:type="dxa"/>
          <w:bottom w:w="0" w:type="dxa"/>
          <w:right w:w="0" w:type="dxa"/>
        </w:tblCellMar>
      </w:tblPr>
      <w:tr>
        <w:trPr>
          <w:trHeight w:val="190"/>
        </w:trPr>
        <w:tc>
          <w:tcPr>
            <w:tcW w:w="1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99.1</w:t>
            </w:r>
          </w:p>
        </w:tc>
        <w:tc>
          <w:tcPr>
            <w:tcW w:w="9300" w:type="dxa"/>
            <w:vAlign w:val="bottom"/>
            <w:gridSpan w:val="3"/>
          </w:tcPr>
          <w:p>
            <w:pPr>
              <w:spacing w:after="0" w:line="190" w:lineRule="exact"/>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0"/>
        </w:trPr>
        <w:tc>
          <w:tcPr>
            <w:tcW w:w="1940" w:type="dxa"/>
            <w:vAlign w:val="bottom"/>
            <w:vMerge w:val="continue"/>
          </w:tcPr>
          <w:p>
            <w:pPr>
              <w:spacing w:after="0" w:line="20" w:lineRule="exact"/>
              <w:rPr>
                <w:sz w:val="1"/>
                <w:szCs w:val="1"/>
                <w:color w:val="auto"/>
              </w:rPr>
            </w:pPr>
          </w:p>
        </w:tc>
        <w:tc>
          <w:tcPr>
            <w:tcW w:w="920" w:type="dxa"/>
            <w:vAlign w:val="bottom"/>
            <w:tcBorders>
              <w:left w:val="single" w:sz="8" w:color="auto"/>
            </w:tcBorders>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vMerge w:val="continue"/>
          </w:tcPr>
          <w:p>
            <w:pPr>
              <w:spacing w:after="0"/>
              <w:rPr>
                <w:sz w:val="18"/>
                <w:szCs w:val="18"/>
                <w:color w:val="auto"/>
              </w:rPr>
            </w:pPr>
          </w:p>
        </w:tc>
        <w:tc>
          <w:tcPr>
            <w:tcW w:w="93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0000FF"/>
              </w:rPr>
              <w:t>Press Release of Strattec Security Corporation, issued May 28, 2026</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5420" w:type="dxa"/>
            <w:vAlign w:val="bottom"/>
            <w:tcBorders>
              <w:left w:val="single" w:sz="8" w:color="0000EE"/>
            </w:tcBorders>
            <w:gridSpan w:val="2"/>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940" w:type="dxa"/>
            <w:vAlign w:val="bottom"/>
            <w:vMerge w:val="continue"/>
          </w:tcPr>
          <w:p>
            <w:pPr>
              <w:spacing w:after="0"/>
              <w:rPr>
                <w:sz w:val="22"/>
                <w:szCs w:val="22"/>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104 – Cover Page Interactive Data File (embedded within the Inline XBRL document).</w:t>
            </w:r>
          </w:p>
        </w:tc>
        <w:tc>
          <w:tcPr>
            <w:tcW w:w="0" w:type="dxa"/>
            <w:vAlign w:val="bottom"/>
          </w:tcPr>
          <w:p>
            <w:pPr>
              <w:spacing w:after="0"/>
              <w:rPr>
                <w:sz w:val="1"/>
                <w:szCs w:val="1"/>
                <w:color w:val="auto"/>
              </w:rPr>
            </w:pPr>
          </w:p>
        </w:tc>
      </w:tr>
      <w:tr>
        <w:trPr>
          <w:trHeight w:val="1661"/>
        </w:trPr>
        <w:tc>
          <w:tcPr>
            <w:tcW w:w="1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By:/s/ Matthew P. Pauli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-10795</wp:posOffset>
            </wp:positionV>
            <wp:extent cx="1828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Matthew P. Pauli, Senior Vice President and</w:t>
      </w: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jc w:val="right"/>
        <w:ind w:right="1040"/>
        <w:spacing w:after="0"/>
        <w:rPr>
          <w:sz w:val="20"/>
          <w:szCs w:val="20"/>
          <w:color w:val="auto"/>
        </w:rPr>
      </w:pPr>
      <w:r>
        <w:rPr>
          <w:rFonts w:ascii="Times New Roman" w:cs="Times New Roman" w:eastAsia="Times New Roman" w:hAnsi="Times New Roman"/>
          <w:sz w:val="43"/>
          <w:szCs w:val="43"/>
          <w:b w:val="1"/>
          <w:bCs w:val="1"/>
          <w:color w:val="auto"/>
        </w:rPr>
        <w:drawing>
          <wp:anchor simplePos="0" relativeHeight="251657728" behindDoc="1" locked="0" layoutInCell="0" allowOverlap="1">
            <wp:simplePos x="0" y="0"/>
            <wp:positionH relativeFrom="page">
              <wp:posOffset>1099820</wp:posOffset>
            </wp:positionH>
            <wp:positionV relativeFrom="page">
              <wp:posOffset>174625</wp:posOffset>
            </wp:positionV>
            <wp:extent cx="212598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25980" cy="480060"/>
                    </a:xfrm>
                    <a:prstGeom prst="rect">
                      <a:avLst/>
                    </a:prstGeom>
                    <a:noFill/>
                  </pic:spPr>
                </pic:pic>
              </a:graphicData>
            </a:graphic>
          </wp:anchor>
        </w:drawing>
        <w:t>NEWS</w:t>
      </w:r>
    </w:p>
    <w:p>
      <w:pPr>
        <w:spacing w:after="0" w:line="63"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43"/>
          <w:szCs w:val="43"/>
          <w:b w:val="1"/>
          <w:bCs w:val="1"/>
          <w:color w:val="auto"/>
        </w:rPr>
        <w:t>RELEASE</w:t>
      </w:r>
    </w:p>
    <w:p>
      <w:pPr>
        <w:spacing w:after="0" w:line="218" w:lineRule="exact"/>
        <w:rPr>
          <w:sz w:val="20"/>
          <w:szCs w:val="20"/>
          <w:color w:val="auto"/>
        </w:rPr>
      </w:pPr>
    </w:p>
    <w:p>
      <w:pPr>
        <w:jc w:val="right"/>
        <w:ind w:right="1040"/>
        <w:spacing w:after="0"/>
        <w:rPr>
          <w:sz w:val="20"/>
          <w:szCs w:val="20"/>
          <w:color w:val="auto"/>
        </w:rPr>
      </w:pPr>
      <w:r>
        <w:rPr>
          <w:rFonts w:ascii="Arial" w:cs="Arial" w:eastAsia="Arial" w:hAnsi="Arial"/>
          <w:sz w:val="20"/>
          <w:szCs w:val="20"/>
          <w:b w:val="1"/>
          <w:bCs w:val="1"/>
          <w:color w:val="auto"/>
        </w:rPr>
        <w:t>EXHIBIT 99.1</w:t>
      </w:r>
    </w:p>
    <w:p>
      <w:pPr>
        <w:spacing w:after="0" w:line="13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FOR IMMEDIATE RELEASE</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0"/>
          <w:szCs w:val="20"/>
          <w:b w:val="1"/>
          <w:bCs w:val="1"/>
          <w:color w:val="auto"/>
        </w:rPr>
        <w:t>trattec</w:t>
      </w:r>
      <w:r>
        <w:rPr>
          <w:rFonts w:ascii="Arial" w:cs="Arial" w:eastAsia="Arial" w:hAnsi="Arial"/>
          <w:sz w:val="29"/>
          <w:szCs w:val="29"/>
          <w:b w:val="1"/>
          <w:bCs w:val="1"/>
          <w:color w:val="auto"/>
        </w:rPr>
        <w:t xml:space="preserve"> A</w:t>
      </w:r>
      <w:r>
        <w:rPr>
          <w:rFonts w:ascii="Arial" w:cs="Arial" w:eastAsia="Arial" w:hAnsi="Arial"/>
          <w:sz w:val="20"/>
          <w:szCs w:val="20"/>
          <w:b w:val="1"/>
          <w:bCs w:val="1"/>
          <w:color w:val="auto"/>
        </w:rPr>
        <w:t>nnounces</w:t>
      </w:r>
      <w:r>
        <w:rPr>
          <w:rFonts w:ascii="Arial" w:cs="Arial" w:eastAsia="Arial" w:hAnsi="Arial"/>
          <w:sz w:val="29"/>
          <w:szCs w:val="29"/>
          <w:b w:val="1"/>
          <w:bCs w:val="1"/>
          <w:color w:val="auto"/>
        </w:rPr>
        <w:t xml:space="preserve"> N</w:t>
      </w:r>
      <w:r>
        <w:rPr>
          <w:rFonts w:ascii="Arial" w:cs="Arial" w:eastAsia="Arial" w:hAnsi="Arial"/>
          <w:sz w:val="20"/>
          <w:szCs w:val="20"/>
          <w:b w:val="1"/>
          <w:bCs w:val="1"/>
          <w:color w:val="auto"/>
        </w:rPr>
        <w:t>ew</w:t>
      </w:r>
      <w:r>
        <w:rPr>
          <w:rFonts w:ascii="Arial" w:cs="Arial" w:eastAsia="Arial" w:hAnsi="Arial"/>
          <w:sz w:val="29"/>
          <w:szCs w:val="29"/>
          <w:b w:val="1"/>
          <w:bCs w:val="1"/>
          <w:color w:val="auto"/>
        </w:rPr>
        <w:t xml:space="preserve"> $40 </w:t>
      </w:r>
      <w:r>
        <w:rPr>
          <w:rFonts w:ascii="Arial" w:cs="Arial" w:eastAsia="Arial" w:hAnsi="Arial"/>
          <w:sz w:val="20"/>
          <w:szCs w:val="20"/>
          <w:b w:val="1"/>
          <w:bCs w:val="1"/>
          <w:color w:val="auto"/>
        </w:rPr>
        <w:t>million</w:t>
      </w:r>
      <w:r>
        <w:rPr>
          <w:rFonts w:ascii="Arial" w:cs="Arial" w:eastAsia="Arial" w:hAnsi="Arial"/>
          <w:sz w:val="29"/>
          <w:szCs w:val="29"/>
          <w:b w:val="1"/>
          <w:bCs w:val="1"/>
          <w:color w:val="auto"/>
        </w:rPr>
        <w:t xml:space="preserve"> S</w:t>
      </w:r>
      <w:r>
        <w:rPr>
          <w:rFonts w:ascii="Arial" w:cs="Arial" w:eastAsia="Arial" w:hAnsi="Arial"/>
          <w:sz w:val="20"/>
          <w:szCs w:val="20"/>
          <w:b w:val="1"/>
          <w:bCs w:val="1"/>
          <w:color w:val="auto"/>
        </w:rPr>
        <w:t>hare</w:t>
      </w:r>
      <w:r>
        <w:rPr>
          <w:rFonts w:ascii="Arial" w:cs="Arial" w:eastAsia="Arial" w:hAnsi="Arial"/>
          <w:sz w:val="29"/>
          <w:szCs w:val="29"/>
          <w:b w:val="1"/>
          <w:bCs w:val="1"/>
          <w:color w:val="auto"/>
        </w:rPr>
        <w:t xml:space="preserve"> R</w:t>
      </w:r>
      <w:r>
        <w:rPr>
          <w:rFonts w:ascii="Arial" w:cs="Arial" w:eastAsia="Arial" w:hAnsi="Arial"/>
          <w:sz w:val="20"/>
          <w:szCs w:val="20"/>
          <w:b w:val="1"/>
          <w:bCs w:val="1"/>
          <w:color w:val="auto"/>
        </w:rPr>
        <w:t>epurchase</w:t>
      </w:r>
      <w:r>
        <w:rPr>
          <w:rFonts w:ascii="Arial" w:cs="Arial" w:eastAsia="Arial" w:hAnsi="Arial"/>
          <w:sz w:val="29"/>
          <w:szCs w:val="29"/>
          <w:b w:val="1"/>
          <w:bCs w:val="1"/>
          <w:color w:val="auto"/>
        </w:rPr>
        <w:t xml:space="preserve"> P</w:t>
      </w:r>
      <w:r>
        <w:rPr>
          <w:rFonts w:ascii="Arial" w:cs="Arial" w:eastAsia="Arial" w:hAnsi="Arial"/>
          <w:sz w:val="20"/>
          <w:szCs w:val="20"/>
          <w:b w:val="1"/>
          <w:bCs w:val="1"/>
          <w:color w:val="auto"/>
        </w:rPr>
        <w:t>rogram</w:t>
      </w:r>
    </w:p>
    <w:p>
      <w:pPr>
        <w:spacing w:after="0" w:line="200" w:lineRule="exact"/>
        <w:rPr>
          <w:sz w:val="20"/>
          <w:szCs w:val="20"/>
          <w:color w:val="auto"/>
        </w:rPr>
      </w:pPr>
    </w:p>
    <w:p>
      <w:pPr>
        <w:spacing w:after="0" w:line="379" w:lineRule="exact"/>
        <w:rPr>
          <w:sz w:val="20"/>
          <w:szCs w:val="20"/>
          <w:color w:val="auto"/>
        </w:rPr>
      </w:pPr>
    </w:p>
    <w:p>
      <w:pPr>
        <w:ind w:left="1060" w:right="1200"/>
        <w:spacing w:after="0" w:line="243" w:lineRule="auto"/>
        <w:rPr>
          <w:sz w:val="20"/>
          <w:szCs w:val="20"/>
          <w:color w:val="auto"/>
        </w:rPr>
      </w:pPr>
      <w:r>
        <w:rPr>
          <w:rFonts w:ascii="Arial" w:cs="Arial" w:eastAsia="Arial" w:hAnsi="Arial"/>
          <w:sz w:val="20"/>
          <w:szCs w:val="20"/>
          <w:b w:val="1"/>
          <w:bCs w:val="1"/>
          <w:color w:val="auto"/>
        </w:rPr>
        <w:t>MILWAUKEE, WI</w:t>
      </w:r>
      <w:r>
        <w:rPr>
          <w:rFonts w:ascii="Arial" w:cs="Arial" w:eastAsia="Arial" w:hAnsi="Arial"/>
          <w:sz w:val="20"/>
          <w:szCs w:val="20"/>
          <w:color w:val="auto"/>
        </w:rPr>
        <w:t>, May 28, 2026 — Strattec</w:t>
      </w:r>
      <w:r>
        <w:rPr>
          <w:rFonts w:ascii="Arial" w:cs="Arial" w:eastAsia="Arial" w:hAnsi="Arial"/>
          <w:sz w:val="20"/>
          <w:szCs w:val="20"/>
          <w:b w:val="1"/>
          <w:bCs w:val="1"/>
          <w:color w:val="auto"/>
        </w:rPr>
        <w:t xml:space="preserve"> </w:t>
      </w:r>
      <w:r>
        <w:rPr>
          <w:rFonts w:ascii="Arial" w:cs="Arial" w:eastAsia="Arial" w:hAnsi="Arial"/>
          <w:sz w:val="21"/>
          <w:szCs w:val="21"/>
          <w:color w:val="auto"/>
        </w:rPr>
        <w:t>(the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STRT), a global provider of</w:t>
      </w:r>
      <w:r>
        <w:rPr>
          <w:rFonts w:ascii="Arial" w:cs="Arial" w:eastAsia="Arial" w:hAnsi="Arial"/>
          <w:sz w:val="20"/>
          <w:szCs w:val="20"/>
          <w:b w:val="1"/>
          <w:bCs w:val="1"/>
          <w:color w:val="auto"/>
        </w:rPr>
        <w:t xml:space="preserve"> </w:t>
      </w:r>
      <w:r>
        <w:rPr>
          <w:rFonts w:ascii="Arial" w:cs="Arial" w:eastAsia="Arial" w:hAnsi="Arial"/>
          <w:sz w:val="20"/>
          <w:szCs w:val="20"/>
          <w:color w:val="auto"/>
        </w:rPr>
        <w:t>highly engineered access solutions for the automotive and mobility industries, today announced that its Board of Directors has authorized a new share repurchase program under which the Company may repurchase up to $40 million of its outstanding common stock.</w:t>
      </w:r>
    </w:p>
    <w:p>
      <w:pPr>
        <w:spacing w:after="0" w:line="101" w:lineRule="exact"/>
        <w:rPr>
          <w:sz w:val="20"/>
          <w:szCs w:val="20"/>
          <w:color w:val="auto"/>
        </w:rPr>
      </w:pPr>
    </w:p>
    <w:p>
      <w:pPr>
        <w:ind w:left="1060" w:right="1080"/>
        <w:spacing w:after="0" w:line="234" w:lineRule="auto"/>
        <w:rPr>
          <w:sz w:val="20"/>
          <w:szCs w:val="20"/>
          <w:color w:val="auto"/>
        </w:rPr>
      </w:pPr>
      <w:r>
        <w:rPr>
          <w:rFonts w:ascii="Arial" w:cs="Arial" w:eastAsia="Arial" w:hAnsi="Arial"/>
          <w:sz w:val="20"/>
          <w:szCs w:val="20"/>
          <w:color w:val="auto"/>
        </w:rPr>
        <w:t>Jennifer Slater, President and CEO of Strattec, stated, “Our strong cash position allows us to continue investing in our transformation and growth strategy while also returning capital to shareholders through this new repurchase authorization. We are confident in our ability to generate strong cash flow to support these priorities while maintaining the financial flexibility needed to navigate the highly cyclical automotive industry in which we operate.”</w:t>
      </w:r>
    </w:p>
    <w:p>
      <w:pPr>
        <w:spacing w:after="0" w:line="107" w:lineRule="exact"/>
        <w:rPr>
          <w:sz w:val="20"/>
          <w:szCs w:val="20"/>
          <w:color w:val="auto"/>
        </w:rPr>
      </w:pPr>
    </w:p>
    <w:p>
      <w:pPr>
        <w:ind w:left="1060" w:right="1040"/>
        <w:spacing w:after="0" w:line="231" w:lineRule="auto"/>
        <w:rPr>
          <w:sz w:val="20"/>
          <w:szCs w:val="20"/>
          <w:color w:val="auto"/>
        </w:rPr>
      </w:pPr>
      <w:r>
        <w:rPr>
          <w:rFonts w:ascii="Arial" w:cs="Arial" w:eastAsia="Arial" w:hAnsi="Arial"/>
          <w:sz w:val="20"/>
          <w:szCs w:val="20"/>
          <w:color w:val="auto"/>
        </w:rPr>
        <w:t>Under the authorization, the Company may repurchase shares from time to time through open market purchases, block trades, accelerated share repurchase transactions and privately negotiated transactions, with the amount and timing of repurchases to be determined at the Company’s discretion based on market conditions, corporate considerations and other factors. Open market repurchases will be conducted in accordance with applicable federal securities laws, including the pricing and volume requirements of Rule 10b-18 under the Securities Exchange Act of 1934, as amended (the “Exchange Act”). The Company may also enter into Rule 10b5-1 trading plans under the Exchange Act to facilitate repurchases under the program.</w:t>
      </w:r>
    </w:p>
    <w:p>
      <w:pPr>
        <w:spacing w:after="0" w:line="92" w:lineRule="exact"/>
        <w:rPr>
          <w:sz w:val="20"/>
          <w:szCs w:val="20"/>
          <w:color w:val="auto"/>
        </w:rPr>
      </w:pPr>
    </w:p>
    <w:p>
      <w:pPr>
        <w:ind w:left="1060" w:right="1080"/>
        <w:spacing w:after="0" w:line="241" w:lineRule="auto"/>
        <w:rPr>
          <w:sz w:val="20"/>
          <w:szCs w:val="20"/>
          <w:color w:val="auto"/>
        </w:rPr>
      </w:pPr>
      <w:r>
        <w:rPr>
          <w:rFonts w:ascii="Arial" w:cs="Arial" w:eastAsia="Arial" w:hAnsi="Arial"/>
          <w:sz w:val="20"/>
          <w:szCs w:val="20"/>
          <w:color w:val="auto"/>
        </w:rPr>
        <w:t>The repurchase program does not have a fixed expiration date, does not obligate the Company to acquire any specific amount of common stock, and may be modified, suspended, or terminated at any time at the discretion of the Board of Directors.</w:t>
      </w:r>
    </w:p>
    <w:p>
      <w:pPr>
        <w:spacing w:after="0" w:line="104" w:lineRule="exact"/>
        <w:rPr>
          <w:sz w:val="20"/>
          <w:szCs w:val="20"/>
          <w:color w:val="auto"/>
        </w:rPr>
      </w:pPr>
    </w:p>
    <w:p>
      <w:pPr>
        <w:ind w:left="1060" w:right="1300"/>
        <w:spacing w:after="0" w:line="237" w:lineRule="auto"/>
        <w:rPr>
          <w:sz w:val="20"/>
          <w:szCs w:val="20"/>
          <w:color w:val="auto"/>
        </w:rPr>
      </w:pPr>
      <w:r>
        <w:rPr>
          <w:rFonts w:ascii="Arial" w:cs="Arial" w:eastAsia="Arial" w:hAnsi="Arial"/>
          <w:sz w:val="20"/>
          <w:szCs w:val="20"/>
          <w:color w:val="auto"/>
        </w:rPr>
        <w:t>The Company’s previous share repurchase program, which was initiated in 1996, has been terminated in connection with the authorization of the new program. During the fourth fiscal quarter and prior to termination, the Company purchased 110,269 shares at an average price of $67.10 per share.</w:t>
      </w:r>
    </w:p>
    <w:p>
      <w:pPr>
        <w:spacing w:after="0" w:line="97"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bout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trattec</w:t>
      </w:r>
    </w:p>
    <w:p>
      <w:pPr>
        <w:spacing w:after="0" w:line="15" w:lineRule="exact"/>
        <w:rPr>
          <w:sz w:val="20"/>
          <w:szCs w:val="20"/>
          <w:color w:val="auto"/>
        </w:rPr>
      </w:pPr>
    </w:p>
    <w:p>
      <w:pPr>
        <w:ind w:left="1060" w:right="1240"/>
        <w:spacing w:after="0" w:line="223" w:lineRule="exact"/>
        <w:rPr>
          <w:sz w:val="20"/>
          <w:szCs w:val="20"/>
          <w:color w:val="auto"/>
        </w:rPr>
      </w:pPr>
      <w:r>
        <w:rPr>
          <w:rFonts w:ascii="Arial" w:cs="Arial" w:eastAsia="Arial" w:hAnsi="Arial"/>
          <w:sz w:val="19"/>
          <w:szCs w:val="19"/>
          <w:color w:val="auto"/>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w:t>
      </w:r>
      <w:r>
        <w:rPr>
          <w:rFonts w:ascii="MS PGothic" w:cs="MS PGothic" w:eastAsia="MS PGothic" w:hAnsi="MS PGothic"/>
          <w:sz w:val="19"/>
          <w:szCs w:val="19"/>
          <w:color w:val="auto"/>
        </w:rPr>
        <w:t>‑</w:t>
      </w:r>
      <w:r>
        <w:rPr>
          <w:rFonts w:ascii="Arial" w:cs="Arial" w:eastAsia="Arial" w:hAnsi="Arial"/>
          <w:sz w:val="19"/>
          <w:szCs w:val="19"/>
          <w:color w:val="auto"/>
        </w:rPr>
        <w:t>level access experiences for end consumers. Strattec’s portfolio spans the access journey from Permission, enabling secure vehicle entry through advanced mechanical and electronic systems; to Motion, delivering effortless, reliable powered access that enhances everyday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Borders>
              <w:right w:val="single" w:sz="8" w:color="auto"/>
            </w:tcBorders>
          </w:tcPr>
          <w:p>
            <w:pPr>
              <w:spacing w:after="0"/>
              <w:rPr>
                <w:sz w:val="16"/>
                <w:szCs w:val="16"/>
                <w:color w:val="auto"/>
              </w:rPr>
            </w:pP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3333 WEST GOOD HOPE ROAD</w:t>
            </w: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414.247.3333</w:t>
            </w:r>
          </w:p>
        </w:tc>
        <w:tc>
          <w:tcPr>
            <w:tcW w:w="4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NASDAQ:</w:t>
            </w:r>
          </w:p>
        </w:tc>
      </w:tr>
      <w:tr>
        <w:trPr>
          <w:trHeight w:val="216"/>
        </w:trPr>
        <w:tc>
          <w:tcPr>
            <w:tcW w:w="10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MILWAUKEE, WI 53209</w:t>
            </w: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WWW.STRATTEC.COM</w:t>
            </w:r>
          </w:p>
        </w:tc>
        <w:tc>
          <w:tcPr>
            <w:tcW w:w="4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STRT</w:t>
            </w:r>
          </w:p>
        </w:tc>
      </w:tr>
      <w:tr>
        <w:trPr>
          <w:trHeight w:val="614"/>
        </w:trPr>
        <w:tc>
          <w:tcPr>
            <w:tcW w:w="10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601" w:right="439" w:bottom="1440" w:gutter="0" w:footer="0" w:header="0"/>
        </w:sectPr>
      </w:pPr>
    </w:p>
    <w:bookmarkStart w:id="4" w:name="page5"/>
    <w:bookmarkEnd w:id="4"/>
    <w:p>
      <w:pPr>
        <w:ind w:left="40"/>
        <w:spacing w:after="0"/>
        <w:rPr>
          <w:sz w:val="20"/>
          <w:szCs w:val="20"/>
          <w:color w:val="auto"/>
        </w:rPr>
      </w:pPr>
      <w:r>
        <w:rPr>
          <w:rFonts w:ascii="Arial" w:cs="Arial" w:eastAsia="Arial" w:hAnsi="Arial"/>
          <w:sz w:val="16"/>
          <w:szCs w:val="16"/>
          <w:b w:val="1"/>
          <w:bCs w:val="1"/>
          <w:color w:val="auto"/>
        </w:rPr>
        <w:t>STRATTEC ANNOUNCES NEW $40 MILLION SHARE REPURCHASE PROGRAM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w:t>
      </w:r>
      <w:r>
        <w:rPr>
          <w:rFonts w:ascii="Arial" w:cs="Arial" w:eastAsia="Arial" w:hAnsi="Arial"/>
          <w:sz w:val="10"/>
          <w:szCs w:val="10"/>
          <w:b w:val="1"/>
          <w:bCs w:val="1"/>
          <w:color w:val="auto"/>
        </w:rPr>
        <w:t>ay</w:t>
      </w:r>
      <w:r>
        <w:rPr>
          <w:rFonts w:ascii="Arial" w:cs="Arial" w:eastAsia="Arial" w:hAnsi="Arial"/>
          <w:sz w:val="16"/>
          <w:szCs w:val="16"/>
          <w:b w:val="1"/>
          <w:bCs w:val="1"/>
          <w:color w:val="auto"/>
        </w:rPr>
        <w:t xml:space="preserve"> 28, 2026</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age</w:t>
      </w:r>
      <w:r>
        <w:rPr>
          <w:rFonts w:ascii="Arial" w:cs="Arial" w:eastAsia="Arial" w:hAnsi="Arial"/>
          <w:sz w:val="16"/>
          <w:szCs w:val="16"/>
          <w:b w:val="1"/>
          <w:bCs w:val="1"/>
          <w:color w:val="auto"/>
        </w:rPr>
        <w:t xml:space="preserve"> 2 </w:t>
      </w:r>
      <w:r>
        <w:rPr>
          <w:rFonts w:ascii="Arial" w:cs="Arial" w:eastAsia="Arial" w:hAnsi="Arial"/>
          <w:sz w:val="10"/>
          <w:szCs w:val="10"/>
          <w:b w:val="1"/>
          <w:bCs w:val="1"/>
          <w:color w:val="auto"/>
        </w:rPr>
        <w:t>of</w:t>
      </w:r>
      <w:r>
        <w:rPr>
          <w:rFonts w:ascii="Arial" w:cs="Arial" w:eastAsia="Arial" w:hAnsi="Arial"/>
          <w:sz w:val="16"/>
          <w:szCs w:val="16"/>
          <w:b w:val="1"/>
          <w:bCs w:val="1"/>
          <w:color w:val="auto"/>
        </w:rPr>
        <w:t xml:space="preserve"> 3</w:t>
      </w:r>
    </w:p>
    <w:p>
      <w:pPr>
        <w:spacing w:after="0" w:line="142" w:lineRule="exact"/>
        <w:rPr>
          <w:sz w:val="20"/>
          <w:szCs w:val="20"/>
          <w:color w:val="auto"/>
        </w:rPr>
      </w:pPr>
    </w:p>
    <w:p>
      <w:pPr>
        <w:ind w:left="40" w:right="579"/>
        <w:spacing w:after="0" w:line="262" w:lineRule="exact"/>
        <w:rPr>
          <w:sz w:val="20"/>
          <w:szCs w:val="20"/>
          <w:color w:val="auto"/>
        </w:rPr>
      </w:pPr>
      <w:r>
        <w:rPr>
          <w:rFonts w:ascii="Arial" w:cs="Arial" w:eastAsia="Arial" w:hAnsi="Arial"/>
          <w:sz w:val="20"/>
          <w:szCs w:val="20"/>
          <w:color w:val="auto"/>
        </w:rPr>
        <w:t>usability; and through to Hold, providing precision</w:t>
      </w:r>
      <w:r>
        <w:rPr>
          <w:rFonts w:ascii="MS PGothic" w:cs="MS PGothic" w:eastAsia="MS PGothic" w:hAnsi="MS PGothic"/>
          <w:sz w:val="20"/>
          <w:szCs w:val="20"/>
          <w:color w:val="auto"/>
        </w:rPr>
        <w:t>‑</w:t>
      </w:r>
      <w:r>
        <w:rPr>
          <w:rFonts w:ascii="Arial" w:cs="Arial" w:eastAsia="Arial" w:hAnsi="Arial"/>
          <w:sz w:val="20"/>
          <w:szCs w:val="20"/>
          <w:color w:val="auto"/>
        </w:rPr>
        <w:t>engineered latching solutions that give drivers confidence through proven strength, safety, and durability trusted by OEMs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589915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6"/>
          <w:szCs w:val="16"/>
          <w:b w:val="1"/>
          <w:bCs w:val="1"/>
          <w:color w:val="auto"/>
        </w:rPr>
        <w:t>STRATTEC ANNOUNCES NEW $40 MILLION SHARE REPURCHASE PROGRAM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w:t>
      </w:r>
      <w:r>
        <w:rPr>
          <w:rFonts w:ascii="Arial" w:cs="Arial" w:eastAsia="Arial" w:hAnsi="Arial"/>
          <w:sz w:val="10"/>
          <w:szCs w:val="10"/>
          <w:b w:val="1"/>
          <w:bCs w:val="1"/>
          <w:color w:val="auto"/>
        </w:rPr>
        <w:t>ay</w:t>
      </w:r>
      <w:r>
        <w:rPr>
          <w:rFonts w:ascii="Arial" w:cs="Arial" w:eastAsia="Arial" w:hAnsi="Arial"/>
          <w:sz w:val="16"/>
          <w:szCs w:val="16"/>
          <w:b w:val="1"/>
          <w:bCs w:val="1"/>
          <w:color w:val="auto"/>
        </w:rPr>
        <w:t xml:space="preserve"> 28, 2026</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age</w:t>
      </w:r>
      <w:r>
        <w:rPr>
          <w:rFonts w:ascii="Arial" w:cs="Arial" w:eastAsia="Arial" w:hAnsi="Arial"/>
          <w:sz w:val="16"/>
          <w:szCs w:val="16"/>
          <w:b w:val="1"/>
          <w:bCs w:val="1"/>
          <w:color w:val="auto"/>
        </w:rPr>
        <w:t xml:space="preserve"> 3 </w:t>
      </w:r>
      <w:r>
        <w:rPr>
          <w:rFonts w:ascii="Arial" w:cs="Arial" w:eastAsia="Arial" w:hAnsi="Arial"/>
          <w:sz w:val="10"/>
          <w:szCs w:val="10"/>
          <w:b w:val="1"/>
          <w:bCs w:val="1"/>
          <w:color w:val="auto"/>
        </w:rPr>
        <w:t>of</w:t>
      </w:r>
      <w:r>
        <w:rPr>
          <w:rFonts w:ascii="Arial" w:cs="Arial" w:eastAsia="Arial" w:hAnsi="Arial"/>
          <w:sz w:val="16"/>
          <w:szCs w:val="16"/>
          <w:b w:val="1"/>
          <w:bCs w:val="1"/>
          <w:color w:val="auto"/>
        </w:rPr>
        <w:t xml:space="preserve"> 3</w:t>
      </w:r>
    </w:p>
    <w:p>
      <w:pPr>
        <w:spacing w:after="0" w:line="175" w:lineRule="exact"/>
        <w:rPr>
          <w:sz w:val="20"/>
          <w:szCs w:val="20"/>
          <w:color w:val="auto"/>
        </w:rPr>
      </w:pPr>
    </w:p>
    <w:p>
      <w:pPr>
        <w:ind w:left="40" w:right="279"/>
        <w:spacing w:after="0" w:line="230" w:lineRule="exact"/>
        <w:rPr>
          <w:sz w:val="20"/>
          <w:szCs w:val="20"/>
          <w:color w:val="auto"/>
        </w:rPr>
      </w:pPr>
      <w:r>
        <w:rPr>
          <w:rFonts w:ascii="Arial" w:cs="Arial" w:eastAsia="Arial" w:hAnsi="Arial"/>
          <w:sz w:val="20"/>
          <w:szCs w:val="20"/>
          <w:color w:val="auto"/>
        </w:rPr>
        <w:t>As access becomes increasingly intelligent, connected, and central to vehicle experience, Strattec’s strategy is to expand its market share, further diversify its customers and geographic reach while becoming the most trusted access partner to drive long</w:t>
      </w:r>
      <w:r>
        <w:rPr>
          <w:rFonts w:ascii="MS PGothic" w:cs="MS PGothic" w:eastAsia="MS PGothic" w:hAnsi="MS PGothic"/>
          <w:sz w:val="20"/>
          <w:szCs w:val="20"/>
          <w:color w:val="auto"/>
        </w:rPr>
        <w:t>‑</w:t>
      </w:r>
      <w:r>
        <w:rPr>
          <w:rFonts w:ascii="Arial" w:cs="Arial" w:eastAsia="Arial" w:hAnsi="Arial"/>
          <w:sz w:val="20"/>
          <w:szCs w:val="20"/>
          <w:color w:val="auto"/>
        </w:rPr>
        <w:t>term growth across global automotive and mobility markets. For more information, visit www.strattec.com.</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afe</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arbor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tatement</w:t>
      </w:r>
    </w:p>
    <w:p>
      <w:pPr>
        <w:spacing w:after="0" w:line="132" w:lineRule="exact"/>
        <w:rPr>
          <w:sz w:val="20"/>
          <w:szCs w:val="20"/>
          <w:color w:val="auto"/>
        </w:rPr>
      </w:pPr>
    </w:p>
    <w:p>
      <w:pPr>
        <w:ind w:left="40" w:right="59"/>
        <w:spacing w:after="0" w:line="227" w:lineRule="auto"/>
        <w:rPr>
          <w:sz w:val="20"/>
          <w:szCs w:val="20"/>
          <w:color w:val="auto"/>
        </w:rPr>
      </w:pPr>
      <w:r>
        <w:rPr>
          <w:rFonts w:ascii="Arial" w:cs="Arial" w:eastAsia="Arial" w:hAnsi="Arial"/>
          <w:sz w:val="20"/>
          <w:szCs w:val="20"/>
          <w:color w:val="auto"/>
        </w:rPr>
        <w:t>Certain statements contained in this release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Such forward-looking statements are inherently subject to many uncertainties in the Company’s operations and business environment. These uncertainties include general economic conditions, in particular, relating to the automotive industry, consumer demand for the Company’s and its customers’ products, competitive and technological developments, customer purchasing actions, changes in warranty provisions and customer product recall policies, work stoppages at the Company or at the location of its key customers as a result of labor disputes, foreign currency fluctuations, uncertainties stemming from U.S. trade policies, tariffs and reactions to the same from foreign countries, matters adversely impacting the timing and availability of component parts and raw materials needed for the production of the Company’s products and the products of its customers and fluctuations in costs of operation. Shareholders, potential investors and other readers are urged to consider these factors carefully in evaluating the forward-looking statements and are cautioned not to place undue reliance on such forward-looking statements. Such uncertainties and other operational matters are discussed further in the Company’s quarterly and annual filings with the Securities and Exchange Commission. The forward-looking statements made herein are only made as of the date of this press release and the Company undertakes no obligation to publicly update such forward-looking statements to reflect subsequent events or circumstances occurring after the date of this release.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Investor Contact:</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Deborah K. Pawlowski, IRC</w:t>
      </w:r>
    </w:p>
    <w:p>
      <w:pPr>
        <w:ind w:left="120"/>
        <w:spacing w:after="0" w:line="229" w:lineRule="auto"/>
        <w:rPr>
          <w:sz w:val="20"/>
          <w:szCs w:val="20"/>
          <w:color w:val="auto"/>
        </w:rPr>
      </w:pPr>
      <w:r>
        <w:rPr>
          <w:rFonts w:ascii="Arial" w:cs="Arial" w:eastAsia="Arial" w:hAnsi="Arial"/>
          <w:sz w:val="20"/>
          <w:szCs w:val="20"/>
          <w:color w:val="auto"/>
        </w:rPr>
        <w:t>Alliance Advisors IR</w:t>
      </w:r>
    </w:p>
    <w:p>
      <w:pPr>
        <w:ind w:left="120"/>
        <w:spacing w:after="0" w:line="237" w:lineRule="auto"/>
        <w:tabs>
          <w:tab w:leader="none" w:pos="900" w:val="left"/>
        </w:tabs>
        <w:rPr>
          <w:sz w:val="20"/>
          <w:szCs w:val="20"/>
          <w:color w:val="auto"/>
        </w:rPr>
      </w:pPr>
      <w:r>
        <w:rPr>
          <w:rFonts w:ascii="Arial" w:cs="Arial" w:eastAsia="Arial" w:hAnsi="Arial"/>
          <w:sz w:val="20"/>
          <w:szCs w:val="20"/>
          <w:color w:val="auto"/>
        </w:rPr>
        <w:t>Phone:</w:t>
      </w:r>
      <w:r>
        <w:rPr>
          <w:sz w:val="20"/>
          <w:szCs w:val="20"/>
          <w:color w:val="auto"/>
        </w:rPr>
        <w:tab/>
      </w:r>
      <w:r>
        <w:rPr>
          <w:rFonts w:ascii="Arial" w:cs="Arial" w:eastAsia="Arial" w:hAnsi="Arial"/>
          <w:sz w:val="19"/>
          <w:szCs w:val="19"/>
          <w:color w:val="auto"/>
        </w:rPr>
        <w:t>716-843-3908</w:t>
      </w:r>
    </w:p>
    <w:p>
      <w:pPr>
        <w:ind w:left="120"/>
        <w:spacing w:after="0"/>
        <w:tabs>
          <w:tab w:leader="none" w:pos="880" w:val="left"/>
        </w:tabs>
        <w:rPr>
          <w:sz w:val="20"/>
          <w:szCs w:val="20"/>
          <w:color w:val="auto"/>
        </w:rPr>
      </w:pPr>
      <w:r>
        <w:rPr>
          <w:rFonts w:ascii="Arial" w:cs="Arial" w:eastAsia="Arial" w:hAnsi="Arial"/>
          <w:sz w:val="20"/>
          <w:szCs w:val="20"/>
          <w:color w:val="auto"/>
        </w:rPr>
        <w:t>Email:</w:t>
        <w:tab/>
        <w:t>dpawlowski@allianceadvisors.com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1061085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2026-05-28T17:26:02Z</dcterms:created>
  <dcterms:modified xsi:type="dcterms:W3CDTF">2026-05-28T17:26:02Z</dcterms:modified>
</cp:coreProperties>
</file>