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trt-20260430.htm"/>
      <w:bookmarkStart w:id="1" w:name="ksstrt20260430"/>
      <w:bookmarkEnd w:id="0"/>
      <w:bookmarkEnd w:id="1"/>
      <w:r>
        <w:rPr/>
        <w:t> </w:t>
      </w:r>
    </w:p>
    <w:p>
      <w:pPr>
        <w:pStyle w:val="TextBody"/>
        <w:bidi w:val="0"/>
        <w:spacing w:before="88"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64"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264" w:after="283"/>
        <w:jc w:val="center"/>
        <w:rPr>
          <w:rFonts w:ascii="Times New Roman" w:hAnsi="Times New Roman"/>
          <w:b/>
          <w:color w:val="000000"/>
          <w:sz w:val="24"/>
        </w:rPr>
      </w:pPr>
      <w:r>
        <w:rPr>
          <w:rFonts w:ascii="Times New Roman" w:hAnsi="Times New Roman"/>
          <w:b/>
          <w:color w:val="000000"/>
          <w:sz w:val="24"/>
        </w:rPr>
        <w:t>Date of report (Date of earliest event reported): April 30, 2026</w:t>
      </w:r>
    </w:p>
    <w:p>
      <w:pPr>
        <w:pStyle w:val="TextBody"/>
        <w:bidi w:val="0"/>
        <w:jc w:val="center"/>
        <w:rPr>
          <w:rFonts w:ascii="Times New Roman" w:hAnsi="Times New Roman"/>
          <w:b/>
          <w:color w:val="000000"/>
          <w:sz w:val="44"/>
        </w:rPr>
      </w:pPr>
      <w:r>
        <w:rPr>
          <w:rFonts w:ascii="Times New Roman" w:hAnsi="Times New Roman"/>
          <w:b/>
          <w:color w:val="000000"/>
          <w:sz w:val="44"/>
        </w:rPr>
        <w:t>STRATTEC SECURITY CORPORATION</w:t>
      </w:r>
    </w:p>
    <w:p>
      <w:pPr>
        <w:pStyle w:val="TextBody"/>
        <w:bidi w:val="0"/>
        <w:jc w:val="center"/>
        <w:rPr>
          <w:rFonts w:ascii="Times New Roman" w:hAnsi="Times New Roman"/>
          <w:color w:val="000000"/>
          <w:sz w:val="20"/>
        </w:rPr>
      </w:pPr>
      <w:r>
        <w:rPr>
          <w:rFonts w:ascii="Times New Roman" w:hAnsi="Times New Roman"/>
          <w:color w:val="000000"/>
          <w:sz w:val="20"/>
        </w:rPr>
        <w:t xml:space="preserve">(Exact Name of Registrant as Specified in Charter) </w:t>
      </w:r>
    </w:p>
    <w:tbl>
      <w:tblPr>
        <w:tblW w:w="4676" w:type="dxa"/>
        <w:jc w:val="left"/>
        <w:tblInd w:w="0" w:type="dxa"/>
        <w:tblLayout w:type="fixed"/>
        <w:tblCellMar>
          <w:top w:w="28" w:type="dxa"/>
          <w:left w:w="28" w:type="dxa"/>
          <w:bottom w:w="28" w:type="dxa"/>
          <w:right w:w="28" w:type="dxa"/>
        </w:tblCellMar>
      </w:tblPr>
      <w:tblGrid>
        <w:gridCol w:w="1981"/>
        <w:gridCol w:w="109"/>
        <w:gridCol w:w="1036"/>
        <w:gridCol w:w="109"/>
        <w:gridCol w:w="1441"/>
      </w:tblGrid>
      <w:tr>
        <w:trPr/>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0-25150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39-1804239</w:t>
            </w:r>
          </w:p>
        </w:tc>
      </w:tr>
      <w:tr>
        <w:trPr/>
        <w:tc>
          <w:tcPr>
            <w:tcW w:w="19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(Commission</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Identification No.)</w:t>
            </w:r>
          </w:p>
        </w:tc>
      </w:tr>
      <w:tr>
        <w:trPr/>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3333 West Good Hope Road, Milwaukee, Wisconsin</w:t>
      </w:r>
      <w:r>
        <w:rPr>
          <w:rFonts w:ascii="Times New Roman" w:hAnsi="Times New Roman"/>
          <w:color w:val="000000"/>
          <w:sz w:val="20"/>
        </w:rPr>
        <w:t xml:space="preserve"> </w:t>
      </w:r>
      <w:r>
        <w:rPr>
          <w:rFonts w:ascii="Times New Roman" w:hAnsi="Times New Roman"/>
          <w:b/>
          <w:color w:val="000000"/>
          <w:sz w:val="20"/>
        </w:rPr>
        <w:t>53209</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and Zip Code)</w:t>
      </w:r>
    </w:p>
    <w:p>
      <w:pPr>
        <w:pStyle w:val="TextBody"/>
        <w:bidi w:val="0"/>
        <w:spacing w:before="120" w:after="283"/>
        <w:jc w:val="center"/>
        <w:rPr>
          <w:rFonts w:ascii="Times New Roman" w:hAnsi="Times New Roman"/>
          <w:sz w:val="20"/>
        </w:rPr>
      </w:pPr>
      <w:r>
        <w:rPr>
          <w:rFonts w:ascii="Times New Roman" w:hAnsi="Times New Roman"/>
          <w:b/>
          <w:color w:val="000000"/>
          <w:sz w:val="20"/>
        </w:rPr>
        <w:t>(414)</w:t>
      </w:r>
      <w:r>
        <w:rPr>
          <w:rFonts w:ascii="Times New Roman" w:hAnsi="Times New Roman"/>
          <w:color w:val="000000"/>
          <w:sz w:val="20"/>
        </w:rPr>
        <w:t xml:space="preserve"> </w:t>
      </w:r>
      <w:r>
        <w:rPr>
          <w:rFonts w:ascii="Times New Roman" w:hAnsi="Times New Roman"/>
          <w:b/>
          <w:color w:val="000000"/>
          <w:sz w:val="20"/>
        </w:rPr>
        <w:t>247-3333</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76" w:type="dxa"/>
        <w:jc w:val="left"/>
        <w:tblInd w:w="0" w:type="dxa"/>
        <w:tblLayout w:type="fixed"/>
        <w:tblCellMar>
          <w:top w:w="28" w:type="dxa"/>
          <w:left w:w="28" w:type="dxa"/>
          <w:bottom w:w="28" w:type="dxa"/>
          <w:right w:w="28" w:type="dxa"/>
        </w:tblCellMar>
      </w:tblPr>
      <w:tblGrid>
        <w:gridCol w:w="124"/>
        <w:gridCol w:w="31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 pursuant to Rule 425 under the Securities Act (17 CFR 230.425)</w:t>
            </w:r>
          </w:p>
        </w:tc>
      </w:tr>
    </w:tbl>
    <w:tbl>
      <w:tblPr>
        <w:tblW w:w="7881" w:type="dxa"/>
        <w:jc w:val="left"/>
        <w:tblInd w:w="0" w:type="dxa"/>
        <w:tblLayout w:type="fixed"/>
        <w:tblCellMar>
          <w:top w:w="28" w:type="dxa"/>
          <w:left w:w="28" w:type="dxa"/>
          <w:bottom w:w="28" w:type="dxa"/>
          <w:right w:w="28"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46" w:type="dxa"/>
        <w:jc w:val="left"/>
        <w:tblInd w:w="0" w:type="dxa"/>
        <w:tblLayout w:type="fixed"/>
        <w:tblCellMar>
          <w:top w:w="28" w:type="dxa"/>
          <w:left w:w="28" w:type="dxa"/>
          <w:bottom w:w="28" w:type="dxa"/>
          <w:right w:w="28" w:type="dxa"/>
        </w:tblCellMar>
      </w:tblPr>
      <w:tblGrid>
        <w:gridCol w:w="124"/>
        <w:gridCol w:w="31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 pursuant to Rule 14d-2(b) under the Exchange Act (17 CFR 240.14d-2(b))</w:t>
            </w:r>
          </w:p>
        </w:tc>
      </w:tr>
    </w:tbl>
    <w:tbl>
      <w:tblPr>
        <w:tblW w:w="9486" w:type="dxa"/>
        <w:jc w:val="left"/>
        <w:tblInd w:w="0" w:type="dxa"/>
        <w:tblLayout w:type="fixed"/>
        <w:tblCellMar>
          <w:top w:w="28" w:type="dxa"/>
          <w:left w:w="28" w:type="dxa"/>
          <w:bottom w:w="28" w:type="dxa"/>
          <w:right w:w="28" w:type="dxa"/>
        </w:tblCellMar>
      </w:tblPr>
      <w:tblGrid>
        <w:gridCol w:w="124"/>
        <w:gridCol w:w="31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Pre-commencement communication pursuant to Rule 13e-4(c) under the Exchange Act (17 CFR 240.13e-4(c))</w:t>
            </w:r>
          </w:p>
          <w:p>
            <w:pPr>
              <w:pStyle w:val="TableContents"/>
              <w:bidi w:val="0"/>
              <w:spacing w:before="0" w:after="283"/>
              <w:jc w:val="left"/>
              <w:rPr/>
            </w:pPr>
            <w:r>
              <w:rPr/>
              <w:t> </w:t>
            </w:r>
          </w:p>
        </w:tc>
      </w:tr>
    </w:tbl>
    <w:p>
      <w:pPr>
        <w:pStyle w:val="TextBody"/>
        <w:bidi w:val="0"/>
        <w:spacing w:before="120" w:after="12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7465" w:type="dxa"/>
        <w:jc w:val="left"/>
        <w:tblInd w:w="0" w:type="dxa"/>
        <w:tblLayout w:type="fixed"/>
        <w:tblCellMar>
          <w:top w:w="28" w:type="dxa"/>
          <w:left w:w="28" w:type="dxa"/>
          <w:bottom w:w="28" w:type="dxa"/>
          <w:right w:w="28" w:type="dxa"/>
        </w:tblCellMar>
      </w:tblPr>
      <w:tblGrid>
        <w:gridCol w:w="2326"/>
        <w:gridCol w:w="146"/>
        <w:gridCol w:w="1366"/>
        <w:gridCol w:w="146"/>
        <w:gridCol w:w="348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32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136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32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Common Stock, $.01 par value</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36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STRT</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48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Global Stock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972" w:type="dxa"/>
        <w:jc w:val="left"/>
        <w:tblInd w:w="0" w:type="dxa"/>
        <w:tblLayout w:type="fixed"/>
        <w:tblCellMar>
          <w:top w:w="28" w:type="dxa"/>
          <w:left w:w="28" w:type="dxa"/>
          <w:bottom w:w="28" w:type="dxa"/>
          <w:right w:w="28" w:type="dxa"/>
        </w:tblCellMar>
      </w:tblPr>
      <w:tblGrid>
        <w:gridCol w:w="1051"/>
        <w:gridCol w:w="4921"/>
      </w:tblGrid>
      <w:tr>
        <w:trPr/>
        <w:tc>
          <w:tcPr>
            <w:tcW w:w="1051" w:type="dxa"/>
            <w:tcBorders/>
            <w:vAlign w:val="center"/>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Item 1.02</w:t>
            </w:r>
          </w:p>
        </w:tc>
        <w:tc>
          <w:tcPr>
            <w:tcW w:w="492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Termination of a Material Definitive Agreement.</w:t>
            </w:r>
          </w:p>
        </w:tc>
      </w:tr>
    </w:tbl>
    <w:p>
      <w:pPr>
        <w:pStyle w:val="TextBody"/>
        <w:bidi w:val="0"/>
        <w:spacing w:before="164" w:after="283"/>
        <w:jc w:val="left"/>
        <w:rPr>
          <w:rFonts w:ascii="Times New Roman" w:hAnsi="Times New Roman"/>
          <w:color w:val="000000"/>
          <w:sz w:val="23"/>
        </w:rPr>
      </w:pPr>
      <w:r>
        <w:rPr>
          <w:rFonts w:ascii="Times New Roman" w:hAnsi="Times New Roman"/>
          <w:color w:val="000000"/>
          <w:sz w:val="23"/>
        </w:rPr>
        <w:t>Effective as of April 30, 2026, ADAC-STRATTEC, LLC (“ADAC-STRATTEC”), a majority owned joint venture subsidiary of Strattec Security Corporation (the “Company”), entered into an Amended and Restated Credit Agreement with BMO Bank N.A. (the “New JV Credit Agreement”) that replaced ADAC-STRATTEC’s existing credit agreement, dated June 28, 2012, with BMO Bank N.A. (formerly BMO Harris Bank N.A.), as amended (the “Prior JV Credit Agreement”).</w:t>
      </w:r>
    </w:p>
    <w:p>
      <w:pPr>
        <w:pStyle w:val="TextBody"/>
        <w:bidi w:val="0"/>
        <w:spacing w:before="262" w:after="283"/>
        <w:jc w:val="left"/>
        <w:rPr>
          <w:rFonts w:ascii="Times New Roman" w:hAnsi="Times New Roman"/>
          <w:color w:val="000000"/>
          <w:sz w:val="23"/>
        </w:rPr>
      </w:pPr>
      <w:r>
        <w:rPr>
          <w:rFonts w:ascii="Times New Roman" w:hAnsi="Times New Roman"/>
          <w:color w:val="000000"/>
          <w:sz w:val="23"/>
        </w:rPr>
        <w:t>The Company was a guarantor under the Prior JV Credit Agreement, and, as a result, previously disclosed the Prior JV Credit Agreement as a material definitive agreement. In connection with the effectiveness of the New JV Credit Agreement, the Company’s guaranty, liens and related obligations under the Prior Credit Agreement were terminated and released. The Company is not a borrower, guarantor or other credit support party under the New JV Credit Agreement.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SIGNATURE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STRATTEC SECURITY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2"/>
          <w:u w:val="single"/>
        </w:rPr>
        <w:t xml:space="preserve">/s/ Matthew P. Pauli </w:t>
      </w:r>
    </w:p>
    <w:p>
      <w:pPr>
        <w:pStyle w:val="TextBody"/>
        <w:bidi w:val="0"/>
        <w:jc w:val="left"/>
        <w:rPr>
          <w:rFonts w:ascii="Times New Roman" w:hAnsi="Times New Roman"/>
          <w:sz w:val="20"/>
        </w:rPr>
      </w:pPr>
      <w:r>
        <w:rPr>
          <w:rFonts w:ascii="Times New Roman" w:hAnsi="Times New Roman"/>
          <w:color w:val="000000"/>
          <w:sz w:val="22"/>
        </w:rPr>
        <w:t>Matthew P. Pauli, Senior Vice President and</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Chief Financial Officer</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Date: April 30,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496</Words>
  <Characters>2765</Characters>
  <CharactersWithSpaces>3233</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