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Pauli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pro rata over three years on each anniversary of the grant date (i.e., one-third vest on each of September 1, 2027, September 1, 2028 and September 1, 2029).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represents a contingent right to receive one share of the Issuer's Common Stock based upon the Issuer's EBITDA percentage over a three-year performance period ending July 1, 2029, subject to a modifier based on relative total shareholder return.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579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3596</Characters>
  <CharactersWithSpaces>4189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