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-211455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6" w:lineRule="exact"/>
        <w:rPr>
          <w:sz w:val="24"/>
          <w:szCs w:val="24"/>
          <w:color w:val="auto"/>
        </w:rPr>
      </w:pPr>
    </w:p>
    <w:p>
      <w:pPr>
        <w:ind w:left="440" w:right="240" w:hanging="432"/>
        <w:spacing w:after="0" w:line="262"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-338455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2025</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40" w:right="260" w:hanging="432"/>
        <w:spacing w:after="0" w:line="262"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0-25150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STRATTEC SECURITY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0" w:type="dxa"/>
        <w:tblCellMar>
          <w:top w:w="0" w:type="dxa"/>
          <w:left w:w="0" w:type="dxa"/>
          <w:bottom w:w="0" w:type="dxa"/>
          <w:right w:w="0" w:type="dxa"/>
        </w:tblCellMar>
      </w:tblPr>
      <w:tr>
        <w:trPr>
          <w:trHeight w:val="214"/>
        </w:trPr>
        <w:tc>
          <w:tcPr>
            <w:tcW w:w="3500" w:type="dxa"/>
            <w:vAlign w:val="bottom"/>
          </w:tcPr>
          <w:p>
            <w:pPr>
              <w:jc w:val="center"/>
              <w:ind w:left="1734"/>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jc w:val="right"/>
              <w:ind w:right="2215"/>
              <w:spacing w:after="0"/>
              <w:rPr>
                <w:sz w:val="20"/>
                <w:szCs w:val="20"/>
                <w:color w:val="auto"/>
              </w:rPr>
            </w:pPr>
            <w:r>
              <w:rPr>
                <w:rFonts w:ascii="Times New Roman" w:cs="Times New Roman" w:eastAsia="Times New Roman" w:hAnsi="Times New Roman"/>
                <w:sz w:val="18"/>
                <w:szCs w:val="18"/>
                <w:b w:val="1"/>
                <w:bCs w:val="1"/>
                <w:color w:val="auto"/>
              </w:rPr>
              <w:t>39-1804239</w:t>
            </w:r>
          </w:p>
        </w:tc>
      </w:tr>
      <w:tr>
        <w:trPr>
          <w:trHeight w:val="190"/>
        </w:trPr>
        <w:tc>
          <w:tcPr>
            <w:tcW w:w="3500" w:type="dxa"/>
            <w:vAlign w:val="bottom"/>
          </w:tcPr>
          <w:p>
            <w:pPr>
              <w:jc w:val="center"/>
              <w:ind w:left="1754"/>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80" w:type="dxa"/>
            <w:vAlign w:val="bottom"/>
          </w:tcPr>
          <w:p>
            <w:pPr>
              <w:jc w:val="center"/>
              <w:ind w:right="1175"/>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82"/>
        </w:trPr>
        <w:tc>
          <w:tcPr>
            <w:tcW w:w="3500" w:type="dxa"/>
            <w:vAlign w:val="bottom"/>
          </w:tcPr>
          <w:p>
            <w:pPr>
              <w:spacing w:after="0"/>
              <w:rPr>
                <w:sz w:val="24"/>
                <w:szCs w:val="24"/>
                <w:color w:val="auto"/>
              </w:rPr>
            </w:pPr>
          </w:p>
        </w:tc>
        <w:tc>
          <w:tcPr>
            <w:tcW w:w="7620" w:type="dxa"/>
            <w:vAlign w:val="bottom"/>
            <w:gridSpan w:val="7"/>
          </w:tcPr>
          <w:p>
            <w:pPr>
              <w:jc w:val="center"/>
              <w:ind w:right="3475"/>
              <w:spacing w:after="0"/>
              <w:rPr>
                <w:sz w:val="20"/>
                <w:szCs w:val="20"/>
                <w:color w:val="auto"/>
              </w:rPr>
            </w:pPr>
            <w:r>
              <w:rPr>
                <w:rFonts w:ascii="Times New Roman" w:cs="Times New Roman" w:eastAsia="Times New Roman" w:hAnsi="Times New Roman"/>
                <w:sz w:val="18"/>
                <w:szCs w:val="18"/>
                <w:b w:val="1"/>
                <w:bCs w:val="1"/>
                <w:color w:val="auto"/>
                <w:w w:val="99"/>
              </w:rPr>
              <w:t>3333 West Good Hope Road, Milwaukee, WI 53209</w:t>
            </w: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spacing w:after="0"/>
              <w:rPr>
                <w:sz w:val="16"/>
                <w:szCs w:val="16"/>
                <w:color w:val="auto"/>
              </w:rPr>
            </w:pPr>
          </w:p>
        </w:tc>
      </w:tr>
      <w:tr>
        <w:trPr>
          <w:trHeight w:val="282"/>
        </w:trPr>
        <w:tc>
          <w:tcPr>
            <w:tcW w:w="3500" w:type="dxa"/>
            <w:vAlign w:val="bottom"/>
          </w:tcPr>
          <w:p>
            <w:pPr>
              <w:spacing w:after="0"/>
              <w:rPr>
                <w:sz w:val="24"/>
                <w:szCs w:val="24"/>
                <w:color w:val="auto"/>
              </w:rPr>
            </w:pPr>
          </w:p>
        </w:tc>
        <w:tc>
          <w:tcPr>
            <w:tcW w:w="314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(414) 247-3333</w:t>
            </w: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gridSpan w:val="6"/>
          </w:tcPr>
          <w:p>
            <w:pPr>
              <w:jc w:val="center"/>
              <w:ind w:right="379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77"/>
        </w:trPr>
        <w:tc>
          <w:tcPr>
            <w:tcW w:w="3800" w:type="dxa"/>
            <w:vAlign w:val="bottom"/>
            <w:gridSpan w:val="2"/>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4180" w:type="dxa"/>
            <w:vAlign w:val="bottom"/>
          </w:tcPr>
          <w:p>
            <w:pPr>
              <w:spacing w:after="0"/>
              <w:rPr>
                <w:sz w:val="6"/>
                <w:szCs w:val="6"/>
                <w:color w:val="auto"/>
              </w:rPr>
            </w:pPr>
          </w:p>
        </w:tc>
      </w:tr>
      <w:tr>
        <w:trPr>
          <w:trHeight w:val="318"/>
        </w:trPr>
        <w:tc>
          <w:tcPr>
            <w:tcW w:w="6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80" w:type="dxa"/>
            <w:vAlign w:val="bottom"/>
          </w:tcPr>
          <w:p>
            <w:pPr>
              <w:spacing w:after="0"/>
              <w:rPr>
                <w:sz w:val="24"/>
                <w:szCs w:val="24"/>
                <w:color w:val="auto"/>
              </w:rPr>
            </w:pPr>
          </w:p>
        </w:tc>
      </w:tr>
      <w:tr>
        <w:trPr>
          <w:trHeight w:val="243"/>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Pr>
          <w:p>
            <w:pPr>
              <w:spacing w:after="0"/>
              <w:rPr>
                <w:sz w:val="21"/>
                <w:szCs w:val="21"/>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0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418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$.01 par value</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40" w:type="dxa"/>
            <w:vAlign w:val="bottom"/>
            <w:gridSpan w:val="4"/>
          </w:tcPr>
          <w:p>
            <w:pPr>
              <w:jc w:val="center"/>
              <w:ind w:right="1780"/>
              <w:spacing w:after="0"/>
              <w:rPr>
                <w:sz w:val="20"/>
                <w:szCs w:val="20"/>
                <w:color w:val="auto"/>
              </w:rPr>
            </w:pPr>
            <w:r>
              <w:rPr>
                <w:rFonts w:ascii="Times New Roman" w:cs="Times New Roman" w:eastAsia="Times New Roman" w:hAnsi="Times New Roman"/>
                <w:sz w:val="18"/>
                <w:szCs w:val="18"/>
                <w:color w:val="auto"/>
                <w:w w:val="99"/>
              </w:rPr>
              <w:t>STRT</w:t>
            </w:r>
          </w:p>
        </w:tc>
        <w:tc>
          <w:tcPr>
            <w:tcW w:w="418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9"/>
              </w:rPr>
              <w:t>The Nasdaq Global Stock Market</w:t>
            </w:r>
          </w:p>
        </w:tc>
      </w:tr>
    </w:tbl>
    <w:p>
      <w:pPr>
        <w:spacing w:after="0" w:line="90" w:lineRule="exact"/>
        <w:rPr>
          <w:sz w:val="24"/>
          <w:szCs w:val="24"/>
          <w:color w:val="auto"/>
        </w:rPr>
      </w:pPr>
    </w:p>
    <w:p>
      <w:pPr>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40" w:firstLine="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916" w:right="35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400" w:val="left"/>
          <w:tab w:leader="none" w:pos="8440" w:val="left"/>
        </w:tabs>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spacing w:after="0" w:line="200" w:lineRule="exact"/>
        <w:rPr>
          <w:sz w:val="20"/>
          <w:szCs w:val="20"/>
          <w:color w:val="auto"/>
        </w:rPr>
      </w:pP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57" w:lineRule="exact"/>
        <w:rPr>
          <w:sz w:val="24"/>
          <w:szCs w:val="24"/>
          <w:color w:val="auto"/>
        </w:rPr>
      </w:pPr>
    </w:p>
    <w:p>
      <w:pPr>
        <w:sectPr>
          <w:pgSz w:w="11900" w:h="16838" w:orient="portrait"/>
          <w:cols w:equalWidth="0" w:num="2">
            <w:col w:w="1980" w:space="520"/>
            <w:col w:w="8720"/>
          </w:cols>
          <w:pgMar w:left="320" w:top="916" w:right="359" w:bottom="1440" w:gutter="0" w:footer="0" w:header="0"/>
          <w:type w:val="continuous"/>
        </w:sectPr>
      </w:pPr>
    </w:p>
    <w:p>
      <w:pPr>
        <w:ind w:right="180" w:firstLine="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00" w:right="15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50" w:lineRule="exact"/>
        <w:rPr>
          <w:sz w:val="24"/>
          <w:szCs w:val="24"/>
          <w:color w:val="auto"/>
        </w:rPr>
      </w:pPr>
    </w:p>
    <w:p>
      <w:pPr>
        <w:ind w:right="200" w:firstLine="300"/>
        <w:spacing w:after="0" w:line="282" w:lineRule="auto"/>
        <w:rPr>
          <w:sz w:val="20"/>
          <w:szCs w:val="20"/>
          <w:color w:val="auto"/>
        </w:rPr>
      </w:pPr>
      <w:r>
        <w:rPr>
          <w:rFonts w:ascii="Times New Roman" w:cs="Times New Roman" w:eastAsia="Times New Roman" w:hAnsi="Times New Roman"/>
          <w:sz w:val="18"/>
          <w:szCs w:val="18"/>
          <w:color w:val="auto"/>
        </w:rPr>
        <w:t>Common stock, par value $0.01 per share: 4,168,104 shares outstanding as of April 29, 2025 (which number includes all restricted shares previously awarded that have not vested as of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STRATTEC SECURITY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30,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4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color w:val="auto"/>
              </w:rPr>
              <w:t>Part I - FINANCIAL INFORMATION</w:t>
            </w:r>
          </w:p>
        </w:tc>
        <w:tc>
          <w:tcPr>
            <w:tcW w:w="10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240" w:type="dxa"/>
            <w:vAlign w:val="bottom"/>
            <w:gridSpan w:val="16"/>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Item 1</w:t>
            </w:r>
          </w:p>
        </w:tc>
        <w:tc>
          <w:tcPr>
            <w:tcW w:w="9320" w:type="dxa"/>
            <w:vAlign w:val="bottom"/>
            <w:gridSpan w:val="15"/>
          </w:tcPr>
          <w:p>
            <w:pPr>
              <w:spacing w:after="0" w:line="176" w:lineRule="exact"/>
              <w:rPr>
                <w:sz w:val="20"/>
                <w:szCs w:val="20"/>
                <w:color w:val="auto"/>
              </w:rPr>
            </w:pPr>
            <w:r>
              <w:rPr>
                <w:rFonts w:ascii="Times New Roman" w:cs="Times New Roman" w:eastAsia="Times New Roman" w:hAnsi="Times New Roman"/>
                <w:sz w:val="16"/>
                <w:szCs w:val="16"/>
                <w:color w:val="auto"/>
              </w:rPr>
              <w:t>Financial Statements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5760" w:type="dxa"/>
            <w:vAlign w:val="bottom"/>
            <w:tcBorders>
              <w:bottom w:val="single" w:sz="8" w:color="auto"/>
            </w:tcBorders>
            <w:gridSpan w:val="12"/>
          </w:tcPr>
          <w:p>
            <w:pPr>
              <w:spacing w:after="0" w:line="183" w:lineRule="exact"/>
              <w:rPr>
                <w:sz w:val="20"/>
                <w:szCs w:val="20"/>
                <w:color w:val="auto"/>
              </w:rPr>
            </w:pPr>
            <w:r>
              <w:rPr>
                <w:rFonts w:ascii="Times New Roman" w:cs="Times New Roman" w:eastAsia="Times New Roman" w:hAnsi="Times New Roman"/>
                <w:sz w:val="16"/>
                <w:szCs w:val="16"/>
                <w:color w:val="auto"/>
              </w:rPr>
              <w:t>Condensed Consolidated Statements of Income and Comprehensive Income (Unaudited)</w:t>
            </w:r>
          </w:p>
        </w:tc>
        <w:tc>
          <w:tcPr>
            <w:tcW w:w="3560" w:type="dxa"/>
            <w:vAlign w:val="bottom"/>
            <w:gridSpan w:val="3"/>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3480" w:type="dxa"/>
            <w:vAlign w:val="bottom"/>
            <w:tcBorders>
              <w:bottom w:val="single" w:sz="8" w:color="auto"/>
            </w:tcBorders>
            <w:gridSpan w:val="8"/>
          </w:tcPr>
          <w:p>
            <w:pPr>
              <w:spacing w:after="0" w:line="183" w:lineRule="exact"/>
              <w:rPr>
                <w:sz w:val="20"/>
                <w:szCs w:val="20"/>
                <w:color w:val="auto"/>
              </w:rPr>
            </w:pPr>
            <w:r>
              <w:rPr>
                <w:rFonts w:ascii="Times New Roman" w:cs="Times New Roman" w:eastAsia="Times New Roman" w:hAnsi="Times New Roman"/>
                <w:sz w:val="16"/>
                <w:szCs w:val="16"/>
                <w:color w:val="auto"/>
              </w:rPr>
              <w:t>Condensed Consolidated Balance Sheets (Unaudited)</w:t>
            </w:r>
          </w:p>
        </w:tc>
        <w:tc>
          <w:tcPr>
            <w:tcW w:w="5840" w:type="dxa"/>
            <w:vAlign w:val="bottom"/>
            <w:gridSpan w:val="7"/>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180" w:type="dxa"/>
            <w:vAlign w:val="bottom"/>
            <w:tcBorders>
              <w:bottom w:val="single" w:sz="8" w:color="auto"/>
            </w:tcBorders>
            <w:gridSpan w:val="10"/>
          </w:tcPr>
          <w:p>
            <w:pPr>
              <w:spacing w:after="0" w:line="183" w:lineRule="exact"/>
              <w:rPr>
                <w:sz w:val="20"/>
                <w:szCs w:val="20"/>
                <w:color w:val="auto"/>
              </w:rPr>
            </w:pPr>
            <w:r>
              <w:rPr>
                <w:rFonts w:ascii="Times New Roman" w:cs="Times New Roman" w:eastAsia="Times New Roman" w:hAnsi="Times New Roman"/>
                <w:sz w:val="16"/>
                <w:szCs w:val="16"/>
                <w:color w:val="auto"/>
              </w:rPr>
              <w:t>Condensed Consolidated Statements of Cash Flows (Unaudited)</w:t>
            </w:r>
          </w:p>
        </w:tc>
        <w:tc>
          <w:tcPr>
            <w:tcW w:w="5140" w:type="dxa"/>
            <w:vAlign w:val="bottom"/>
            <w:gridSpan w:val="5"/>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932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auto"/>
              </w:rPr>
              <w:t>Notes to Condensed Consolidated Financial Statements (Unaudited)</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5840" w:type="dxa"/>
            <w:vAlign w:val="bottom"/>
            <w:tcBorders>
              <w:bottom w:val="single" w:sz="8" w:color="auto"/>
            </w:tcBorders>
            <w:gridSpan w:val="13"/>
          </w:tcPr>
          <w:p>
            <w:pPr>
              <w:spacing w:after="0" w:line="183" w:lineRule="exact"/>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3480" w:type="dxa"/>
            <w:vAlign w:val="bottom"/>
            <w:gridSpan w:val="2"/>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auto"/>
            </w:tcBorders>
            <w:gridSpan w:val="9"/>
          </w:tcPr>
          <w:p>
            <w:pPr>
              <w:spacing w:after="0" w:line="183" w:lineRule="exact"/>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5380" w:type="dxa"/>
            <w:vAlign w:val="bottom"/>
            <w:gridSpan w:val="6"/>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32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auto"/>
              </w:rPr>
              <w:t>Controls and Procedures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4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Part II -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Item 1</w:t>
            </w:r>
          </w:p>
        </w:tc>
        <w:tc>
          <w:tcPr>
            <w:tcW w:w="1220" w:type="dxa"/>
            <w:vAlign w:val="bottom"/>
            <w:tcBorders>
              <w:bottom w:val="single" w:sz="8" w:color="auto"/>
            </w:tcBorders>
            <w:gridSpan w:val="4"/>
          </w:tcPr>
          <w:p>
            <w:pPr>
              <w:spacing w:after="0" w:line="176" w:lineRule="exact"/>
              <w:rPr>
                <w:sz w:val="20"/>
                <w:szCs w:val="20"/>
                <w:color w:val="auto"/>
              </w:rPr>
            </w:pPr>
            <w:r>
              <w:rPr>
                <w:rFonts w:ascii="Times New Roman" w:cs="Times New Roman" w:eastAsia="Times New Roman" w:hAnsi="Times New Roman"/>
                <w:sz w:val="16"/>
                <w:szCs w:val="16"/>
                <w:color w:val="auto"/>
              </w:rPr>
              <w:t>Legal Proceedings</w:t>
            </w:r>
          </w:p>
        </w:tc>
        <w:tc>
          <w:tcPr>
            <w:tcW w:w="8100" w:type="dxa"/>
            <w:vAlign w:val="bottom"/>
            <w:gridSpan w:val="11"/>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32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auto"/>
              </w:rPr>
              <w:t>Risk Factors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32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auto"/>
              </w:rPr>
              <w:t>Unregistered Sales of Equity Securities, Use of Proceeds, and Issuer Purchases of Equity Securities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6440" w:type="dxa"/>
            <w:vAlign w:val="bottom"/>
            <w:tcBorders>
              <w:top w:val="single" w:sz="8" w:color="auto"/>
            </w:tcBorders>
            <w:gridSpan w:val="14"/>
          </w:tcPr>
          <w:p>
            <w:pPr>
              <w:spacing w:after="0" w:line="183" w:lineRule="exact"/>
              <w:rPr>
                <w:sz w:val="20"/>
                <w:szCs w:val="20"/>
                <w:color w:val="auto"/>
              </w:rPr>
            </w:pPr>
            <w:r>
              <w:rPr>
                <w:rFonts w:ascii="Times New Roman" w:cs="Times New Roman" w:eastAsia="Times New Roman" w:hAnsi="Times New Roman"/>
                <w:sz w:val="16"/>
                <w:szCs w:val="16"/>
                <w:color w:val="auto"/>
              </w:rPr>
              <w:t>Defaults Upon Senior Securities</w:t>
            </w:r>
          </w:p>
        </w:tc>
        <w:tc>
          <w:tcPr>
            <w:tcW w:w="288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2100" w:type="dxa"/>
            <w:vAlign w:val="bottom"/>
            <w:tcBorders>
              <w:top w:val="single" w:sz="8" w:color="auto"/>
            </w:tcBorders>
            <w:gridSpan w:val="7"/>
          </w:tcPr>
          <w:p>
            <w:pPr>
              <w:spacing w:after="0" w:line="183" w:lineRule="exact"/>
              <w:rPr>
                <w:sz w:val="20"/>
                <w:szCs w:val="20"/>
                <w:color w:val="auto"/>
              </w:rPr>
            </w:pPr>
            <w:r>
              <w:rPr>
                <w:rFonts w:ascii="Times New Roman" w:cs="Times New Roman" w:eastAsia="Times New Roman" w:hAnsi="Times New Roman"/>
                <w:sz w:val="16"/>
                <w:szCs w:val="16"/>
                <w:color w:val="auto"/>
              </w:rPr>
              <w:t>Mine Safety Disclosures</w:t>
            </w:r>
          </w:p>
        </w:tc>
        <w:tc>
          <w:tcPr>
            <w:tcW w:w="7220" w:type="dxa"/>
            <w:vAlign w:val="bottom"/>
            <w:gridSpan w:val="8"/>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5</w:t>
            </w:r>
          </w:p>
        </w:tc>
        <w:tc>
          <w:tcPr>
            <w:tcW w:w="1200" w:type="dxa"/>
            <w:vAlign w:val="bottom"/>
            <w:tcBorders>
              <w:top w:val="single" w:sz="8" w:color="auto"/>
              <w:bottom w:val="single" w:sz="8" w:color="auto"/>
            </w:tcBorders>
            <w:gridSpan w:val="3"/>
          </w:tcPr>
          <w:p>
            <w:pPr>
              <w:spacing w:after="0" w:line="183" w:lineRule="exact"/>
              <w:rPr>
                <w:sz w:val="20"/>
                <w:szCs w:val="20"/>
                <w:color w:val="auto"/>
              </w:rPr>
            </w:pPr>
            <w:r>
              <w:rPr>
                <w:rFonts w:ascii="Times New Roman" w:cs="Times New Roman" w:eastAsia="Times New Roman" w:hAnsi="Times New Roman"/>
                <w:sz w:val="16"/>
                <w:szCs w:val="16"/>
                <w:color w:val="auto"/>
              </w:rPr>
              <w:t>Other Information</w:t>
            </w:r>
          </w:p>
        </w:tc>
        <w:tc>
          <w:tcPr>
            <w:tcW w:w="400" w:type="dxa"/>
            <w:vAlign w:val="bottom"/>
            <w:tcBorders>
              <w:top w:val="single" w:sz="8" w:color="auto"/>
            </w:tcBorders>
            <w:gridSpan w:val="3"/>
          </w:tcPr>
          <w:p>
            <w:pPr>
              <w:spacing w:after="0"/>
              <w:rPr>
                <w:sz w:val="15"/>
                <w:szCs w:val="15"/>
                <w:color w:val="auto"/>
              </w:rPr>
            </w:pPr>
          </w:p>
        </w:tc>
        <w:tc>
          <w:tcPr>
            <w:tcW w:w="7720" w:type="dxa"/>
            <w:vAlign w:val="bottom"/>
            <w:gridSpan w:val="9"/>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83"/>
        </w:trPr>
        <w:tc>
          <w:tcPr>
            <w:tcW w:w="9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320" w:type="dxa"/>
            <w:vAlign w:val="bottom"/>
            <w:gridSpan w:val="15"/>
          </w:tcPr>
          <w:p>
            <w:pPr>
              <w:spacing w:after="0" w:line="183" w:lineRule="exact"/>
              <w:rPr>
                <w:sz w:val="20"/>
                <w:szCs w:val="20"/>
                <w:color w:val="auto"/>
              </w:rPr>
            </w:pPr>
            <w:r>
              <w:rPr>
                <w:rFonts w:ascii="Times New Roman" w:cs="Times New Roman" w:eastAsia="Times New Roman" w:hAnsi="Times New Roman"/>
                <w:sz w:val="16"/>
                <w:szCs w:val="16"/>
                <w:color w:val="auto"/>
              </w:rPr>
              <w:t>Exhibits</w:t>
            </w: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PROSPECTIVE INFORMATION</w:t>
      </w:r>
    </w:p>
    <w:p>
      <w:pPr>
        <w:spacing w:after="0" w:line="115" w:lineRule="exact"/>
        <w:rPr>
          <w:sz w:val="20"/>
          <w:szCs w:val="20"/>
          <w:color w:val="auto"/>
        </w:rPr>
      </w:pPr>
    </w:p>
    <w:p>
      <w:pPr>
        <w:ind w:right="20" w:firstLine="562"/>
        <w:spacing w:after="0" w:line="271" w:lineRule="auto"/>
        <w:rPr>
          <w:sz w:val="20"/>
          <w:szCs w:val="20"/>
          <w:color w:val="auto"/>
        </w:rPr>
      </w:pPr>
      <w:r>
        <w:rPr>
          <w:rFonts w:ascii="Times New Roman" w:cs="Times New Roman" w:eastAsia="Times New Roman" w:hAnsi="Times New Roman"/>
          <w:sz w:val="16"/>
          <w:szCs w:val="16"/>
          <w:color w:val="auto"/>
        </w:rPr>
        <w:t>A number of the matters and subject areas discussed in this Form 10-Q contain “forward-looking statements” within the meaning of the Private Securities Litigation Reform Act of 1995. These statements may be identified by the use of forward-looking words or phrases such as “anticipate,” “believe,” “could,” “expect,” “intend,” “may,” “planned,” “potential,” “should,” “will,” and “would,” or the negative of these terms or words of similar meaning. These statements include expected future financial results, product offerings, global expansion, liquidity needs, financing ability, planned capital expenditures, management’s or the Company’s expectations and beliefs, and similar matters discussed in this Form 10-Q. The discussion of such matters and subject areas contained herein is qualified by the inherent risks and uncertainties surrounding future expectations generally, and also may materially differ from the Company’s actual future experience.</w:t>
      </w:r>
    </w:p>
    <w:p>
      <w:pPr>
        <w:spacing w:after="0" w:line="49" w:lineRule="exact"/>
        <w:rPr>
          <w:sz w:val="20"/>
          <w:szCs w:val="20"/>
          <w:color w:val="auto"/>
        </w:rPr>
      </w:pPr>
    </w:p>
    <w:p>
      <w:pPr>
        <w:ind w:right="300" w:firstLine="562"/>
        <w:spacing w:after="0" w:line="269" w:lineRule="auto"/>
        <w:rPr>
          <w:sz w:val="20"/>
          <w:szCs w:val="20"/>
          <w:color w:val="auto"/>
        </w:rPr>
      </w:pPr>
      <w:r>
        <w:rPr>
          <w:rFonts w:ascii="Times New Roman" w:cs="Times New Roman" w:eastAsia="Times New Roman" w:hAnsi="Times New Roman"/>
          <w:sz w:val="16"/>
          <w:szCs w:val="16"/>
          <w:color w:val="auto"/>
        </w:rPr>
        <w:t>The Company’s business, operations and financial performance are subject to certain risks and uncertainties, which could result in material differences in actual results from the Company’s current expectations, including:</w:t>
      </w:r>
    </w:p>
    <w:p>
      <w:pPr>
        <w:ind w:left="580" w:right="3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uncertain economic environment and inflationary conditions coupled with the cyclical nature of the automotive industry may adversely affect global vehicle production and demand for our products;</w:t>
      </w:r>
    </w:p>
    <w:p>
      <w:pPr>
        <w:ind w:left="580" w:hanging="37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and technological developments within our sphere of offerings are rapidly evolving;</w:t>
      </w:r>
    </w:p>
    <w:p>
      <w:pPr>
        <w:spacing w:after="0" w:line="18" w:lineRule="exact"/>
        <w:rPr>
          <w:rFonts w:ascii="Times New Roman" w:cs="Times New Roman" w:eastAsia="Times New Roman" w:hAnsi="Times New Roman"/>
          <w:sz w:val="16"/>
          <w:szCs w:val="16"/>
          <w:color w:val="auto"/>
        </w:rPr>
      </w:pPr>
    </w:p>
    <w:p>
      <w:pPr>
        <w:ind w:left="580" w:right="36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customer purchasing actions, warranty provisions and product recall policies could adversely affect our business, results of operations and financial condition;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 stoppages within our operations or at the location of our key customers as a result of labor disputes could adversely impact our business, results of operations and financial condition;</w:t>
      </w:r>
    </w:p>
    <w:p>
      <w:pPr>
        <w:ind w:left="580" w:right="22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cost inflation or unionization efforts in Mexico, coupled with a shortage of skilled laborers in the United States, could increase our manufacturing expenses and impact production efficiency;</w:t>
      </w:r>
    </w:p>
    <w:p>
      <w:pPr>
        <w:ind w:left="580" w:right="28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tariffs or international trade policies could adversely affect our results, particularly with respect to goods imported into the United States or produced under U.S. trade agreements such as the USMCA;</w:t>
      </w:r>
    </w:p>
    <w:p>
      <w:pPr>
        <w:ind w:left="580" w:right="2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and restrictions impacting the import of goods and components stemming from heightened security procedures or changes in policies implemented by the U.S. Government related to U.S.-Mexico border crossings could have a negative effect on our business;</w:t>
      </w:r>
    </w:p>
    <w:p>
      <w:pPr>
        <w:ind w:left="580" w:right="4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increase in the volume and scope of product returns or customer cost reimbursement actions could adversely impact our business, results of operations and financial condition;</w:t>
      </w:r>
    </w:p>
    <w:p>
      <w:pPr>
        <w:ind w:left="580" w:right="34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changes in the costs of operations, warranty claims, adverse business and operational issues could be affected by a material global supply chain and logistics disruption;</w:t>
      </w:r>
    </w:p>
    <w:p>
      <w:pPr>
        <w:ind w:left="580" w:right="10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shortages in the supply of semiconductor chips and other matters adversely impacting the timing, availability and costs of material component parts and raw materials for the production of our products could adversely affect our business, results of operations and financial condition;</w:t>
      </w:r>
    </w:p>
    <w:p>
      <w:pPr>
        <w:ind w:left="580" w:hanging="378"/>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and geopolitical conditions, including regional conflicts, could adversely affect our business, results of operations and financial condition;</w:t>
      </w:r>
    </w:p>
    <w:p>
      <w:pPr>
        <w:spacing w:after="0" w:line="18" w:lineRule="exact"/>
        <w:rPr>
          <w:rFonts w:ascii="Times New Roman" w:cs="Times New Roman" w:eastAsia="Times New Roman" w:hAnsi="Times New Roman"/>
          <w:sz w:val="16"/>
          <w:szCs w:val="16"/>
          <w:color w:val="auto"/>
        </w:rPr>
      </w:pPr>
    </w:p>
    <w:p>
      <w:pPr>
        <w:ind w:left="580" w:right="220" w:hanging="378"/>
        <w:spacing w:after="0" w:line="264" w:lineRule="auto"/>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to our information security management systems and cybersecurity incidents could adversely affect our business, results of operations and financial condition;</w:t>
      </w:r>
    </w:p>
    <w:p>
      <w:pPr>
        <w:ind w:right="780"/>
        <w:spacing w:after="0" w:line="288" w:lineRule="auto"/>
        <w:rPr>
          <w:sz w:val="20"/>
          <w:szCs w:val="20"/>
          <w:color w:val="auto"/>
        </w:rPr>
      </w:pPr>
      <w:r>
        <w:rPr>
          <w:rFonts w:ascii="Times New Roman" w:cs="Times New Roman" w:eastAsia="Times New Roman" w:hAnsi="Times New Roman"/>
          <w:sz w:val="16"/>
          <w:szCs w:val="16"/>
          <w:color w:val="auto"/>
        </w:rPr>
        <w:t>and other matters described in the section titled “Risk Factors” in the Company’s Form 10-K report filed on September 5, 2024 with the Securities and Exchange Commission (“SEC”) for the year ended June 30, 2024 (the “Annual Report”).</w:t>
      </w:r>
    </w:p>
    <w:p>
      <w:pPr>
        <w:spacing w:after="0" w:line="50" w:lineRule="exact"/>
        <w:rPr>
          <w:sz w:val="20"/>
          <w:szCs w:val="20"/>
          <w:color w:val="auto"/>
        </w:rPr>
      </w:pPr>
    </w:p>
    <w:p>
      <w:pPr>
        <w:ind w:right="140" w:firstLine="562"/>
        <w:spacing w:after="0" w:line="298" w:lineRule="auto"/>
        <w:rPr>
          <w:sz w:val="20"/>
          <w:szCs w:val="20"/>
          <w:color w:val="auto"/>
        </w:rPr>
      </w:pPr>
      <w:r>
        <w:rPr>
          <w:rFonts w:ascii="Times New Roman" w:cs="Times New Roman" w:eastAsia="Times New Roman" w:hAnsi="Times New Roman"/>
          <w:sz w:val="16"/>
          <w:szCs w:val="16"/>
          <w:color w:val="auto"/>
        </w:rPr>
        <w:t>Shareholders, potential investors and other readers are urged to consider these factors carefully in evaluating the forward-looking statements and are cautioned not to place undue reliance on such forward-looking statements. The forward-looking statements made herein are only made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line="269" w:lineRule="auto"/>
        <w:rPr>
          <w:sz w:val="20"/>
          <w:szCs w:val="20"/>
          <w:color w:val="auto"/>
        </w:rPr>
      </w:pPr>
      <w:r>
        <w:rPr>
          <w:rFonts w:ascii="Times New Roman" w:cs="Times New Roman" w:eastAsia="Times New Roman" w:hAnsi="Times New Roman"/>
          <w:sz w:val="16"/>
          <w:szCs w:val="16"/>
          <w:color w:val="auto"/>
        </w:rPr>
        <w:t>the date of this Form 10-Q and the Company undertakes no obligation to publicly update such forward-looking statements to reflect subsequent events or circumstances occurring after the date of this Form 10-Q.</w:t>
      </w:r>
    </w:p>
    <w:p>
      <w:pPr>
        <w:jc w:val="center"/>
        <w:ind w:right="-3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84"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9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120,977</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353,876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Engineering, selling and administrative expenses</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Income before provision for</w:t>
            </w:r>
          </w:p>
        </w:tc>
        <w:tc>
          <w:tcPr>
            <w:tcW w:w="6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taxes and non-controlling interest</w:t>
            </w: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1"/>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controlling interest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income attributable to STRATTEC</w:t>
            </w:r>
          </w:p>
        </w:tc>
        <w:tc>
          <w:tcPr>
            <w:tcW w:w="8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30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30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28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FF0FC"/>
          </w:tcPr>
          <w:p>
            <w:pPr>
              <w:ind w:left="360"/>
              <w:spacing w:after="0" w:line="194" w:lineRule="exact"/>
              <w:rPr>
                <w:sz w:val="20"/>
                <w:szCs w:val="20"/>
                <w:color w:val="auto"/>
              </w:rPr>
            </w:pPr>
            <w:r>
              <w:rPr>
                <w:rFonts w:ascii="Times New Roman" w:cs="Times New Roman" w:eastAsia="Times New Roman" w:hAnsi="Times New Roman"/>
                <w:sz w:val="18"/>
                <w:szCs w:val="18"/>
                <w:color w:val="auto"/>
              </w:rPr>
              <w:t>SECURITY CORPORATION</w:t>
            </w:r>
          </w:p>
        </w:tc>
        <w:tc>
          <w:tcPr>
            <w:tcW w:w="820" w:type="dxa"/>
            <w:vAlign w:val="bottom"/>
            <w:gridSpan w:val="2"/>
            <w:vMerge w:val="continue"/>
            <w:shd w:val="clear" w:color="auto" w:fill="CFF0FC"/>
          </w:tcPr>
          <w:p>
            <w:pPr>
              <w:spacing w:after="0"/>
              <w:rPr>
                <w:sz w:val="20"/>
                <w:szCs w:val="20"/>
                <w:color w:val="auto"/>
              </w:rPr>
            </w:pPr>
          </w:p>
        </w:tc>
        <w:tc>
          <w:tcPr>
            <w:tcW w:w="114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116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120" w:type="dxa"/>
            <w:vAlign w:val="bottom"/>
            <w:tcBorders>
              <w:top w:val="single" w:sz="8" w:color="CFF0FC"/>
            </w:tcBorders>
          </w:tcPr>
          <w:p>
            <w:pPr>
              <w:spacing w:after="0"/>
              <w:rPr>
                <w:sz w:val="8"/>
                <w:szCs w:val="8"/>
                <w:color w:val="auto"/>
              </w:rPr>
            </w:pPr>
          </w:p>
        </w:tc>
        <w:tc>
          <w:tcPr>
            <w:tcW w:w="60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30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80" w:type="dxa"/>
            <w:vAlign w:val="bottom"/>
            <w:tcBorders>
              <w:top w:val="single" w:sz="8" w:color="CFF0FC"/>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plans, net of tax</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(3,754)</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Comprehensive income attributable to</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300" w:type="dxa"/>
            <w:vAlign w:val="bottom"/>
          </w:tcPr>
          <w:p>
            <w:pPr>
              <w:spacing w:after="0"/>
              <w:rPr>
                <w:sz w:val="16"/>
                <w:szCs w:val="16"/>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300" w:type="dxa"/>
            <w:vAlign w:val="bottom"/>
          </w:tcPr>
          <w:p>
            <w:pPr>
              <w:spacing w:after="0"/>
              <w:rPr>
                <w:sz w:val="16"/>
                <w:szCs w:val="16"/>
                <w:color w:val="auto"/>
              </w:rPr>
            </w:pP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80" w:type="dxa"/>
            <w:vAlign w:val="bottom"/>
          </w:tcPr>
          <w:p>
            <w:pPr>
              <w:spacing w:after="0"/>
              <w:rPr>
                <w:sz w:val="16"/>
                <w:szCs w:val="16"/>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STRATTEC SECURITY CORPORATION</w:t>
            </w:r>
          </w:p>
        </w:tc>
        <w:tc>
          <w:tcPr>
            <w:tcW w:w="8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STRATTEC SECURITY 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30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-2668270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-2651125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-2668270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-2651125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-2668270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-2651125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-2668270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-2651125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-1871345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-1871345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-1871345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-1871345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-1459865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-1459865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-1459865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-1459865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-688340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-671195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-688340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-671195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-688340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-671195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-688340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-671195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Income and Comprehensive Income.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7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62,106</w:t>
            </w:r>
          </w:p>
        </w:tc>
        <w:tc>
          <w:tcPr>
            <w:tcW w:w="1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Finished products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Purchased materials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Pre-production costs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Value-added tax recoverable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387,392</w:t>
            </w: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72,582</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Value-added tax payable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Warranty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Postemployment obligations</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authorized 18,000,000 shares, $.01 par value, 7,635,883</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shares at March 30, 2025 and 7,586,920 issued shares at</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2024</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(17,836)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(15,689)</w:t>
            </w:r>
          </w:p>
        </w:tc>
        <w:tc>
          <w:tcPr>
            <w:tcW w:w="0" w:type="dxa"/>
            <w:vAlign w:val="bottom"/>
          </w:tcPr>
          <w:p>
            <w:pPr>
              <w:spacing w:after="0"/>
              <w:rPr>
                <w:sz w:val="1"/>
                <w:szCs w:val="1"/>
                <w:color w:val="auto"/>
              </w:rPr>
            </w:pPr>
          </w:p>
        </w:tc>
      </w:tr>
      <w:tr>
        <w:trPr>
          <w:trHeight w:val="198"/>
        </w:trPr>
        <w:tc>
          <w:tcPr>
            <w:tcW w:w="76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treasury stock, at cost (3,596,918 shares at March 30, 2025 and</w:t>
            </w:r>
          </w:p>
        </w:tc>
        <w:tc>
          <w:tcPr>
            <w:tcW w:w="280" w:type="dxa"/>
            <w:vAlign w:val="bottom"/>
          </w:tcPr>
          <w:p>
            <w:pPr>
              <w:spacing w:after="0"/>
              <w:rPr>
                <w:sz w:val="17"/>
                <w:szCs w:val="17"/>
                <w:color w:val="auto"/>
              </w:rPr>
            </w:pPr>
          </w:p>
        </w:tc>
        <w:tc>
          <w:tcPr>
            <w:tcW w:w="1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(135,459)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(135,478)</w:t>
            </w:r>
          </w:p>
        </w:tc>
        <w:tc>
          <w:tcPr>
            <w:tcW w:w="0" w:type="dxa"/>
            <w:vAlign w:val="bottom"/>
          </w:tcPr>
          <w:p>
            <w:pPr>
              <w:spacing w:after="0"/>
              <w:rPr>
                <w:sz w:val="1"/>
                <w:szCs w:val="1"/>
                <w:color w:val="auto"/>
              </w:rPr>
            </w:pPr>
          </w:p>
        </w:tc>
      </w:tr>
      <w:tr>
        <w:trPr>
          <w:trHeight w:val="221"/>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3,598,126 shares at June 30, 2024)</w:t>
            </w:r>
          </w:p>
        </w:tc>
        <w:tc>
          <w:tcPr>
            <w:tcW w:w="2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STRATTEC SECURITY CORPORATION shareholders’ equity</w:t>
            </w: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234,601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387,392</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-3642995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-3625215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00" w:type="dxa"/>
            <w:vAlign w:val="bottom"/>
            <w:gridSpan w:val="6"/>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7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411"/>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7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loss (gain) on peso forward contracts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7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settlement of postemployment obligation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(7,507)</w:t>
            </w:r>
          </w:p>
        </w:tc>
      </w:tr>
      <w:tr>
        <w:trPr>
          <w:trHeight w:val="216"/>
        </w:trPr>
        <w:tc>
          <w:tcPr>
            <w:tcW w:w="71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(16,898)</w:t>
            </w:r>
          </w:p>
        </w:tc>
      </w:tr>
      <w:tr>
        <w:trPr>
          <w:trHeight w:val="216"/>
        </w:trPr>
        <w:tc>
          <w:tcPr>
            <w:tcW w:w="71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(7,102)</w:t>
            </w:r>
          </w:p>
        </w:tc>
      </w:tr>
      <w:tr>
        <w:trPr>
          <w:trHeight w:val="216"/>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spacing w:after="0"/>
              <w:rPr>
                <w:sz w:val="18"/>
                <w:szCs w:val="18"/>
                <w:color w:val="auto"/>
              </w:rPr>
            </w:pPr>
          </w:p>
        </w:tc>
      </w:tr>
      <w:tr>
        <w:trPr>
          <w:trHeight w:val="216"/>
        </w:trPr>
        <w:tc>
          <w:tcPr>
            <w:tcW w:w="7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w:t>
            </w: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interest in joint ventures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(6,065)</w:t>
            </w:r>
          </w:p>
        </w:tc>
      </w:tr>
      <w:tr>
        <w:trPr>
          <w:trHeight w:val="20"/>
        </w:trPr>
        <w:tc>
          <w:tcPr>
            <w:tcW w:w="71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(4,065)</w:t>
            </w: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 of borrowings under credit facilities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purchases</w:t>
            </w: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09"/>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36,696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(10,977)</w:t>
            </w:r>
          </w:p>
        </w:tc>
      </w:tr>
      <w:tr>
        <w:trPr>
          <w:trHeight w:val="122"/>
        </w:trPr>
        <w:tc>
          <w:tcPr>
            <w:tcW w:w="7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tcPr>
          <w:p>
            <w:pPr>
              <w:spacing w:after="0"/>
              <w:rPr>
                <w:sz w:val="18"/>
                <w:szCs w:val="18"/>
                <w:color w:val="auto"/>
              </w:rPr>
            </w:pPr>
          </w:p>
        </w:tc>
      </w:tr>
      <w:tr>
        <w:trPr>
          <w:trHeight w:val="249"/>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62,106</w:t>
            </w:r>
          </w:p>
        </w:tc>
        <w:tc>
          <w:tcPr>
            <w:tcW w:w="1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shd w:val="clear" w:color="auto" w:fill="CFF0FC"/>
          </w:tcPr>
          <w:p>
            <w:pPr>
              <w:spacing w:after="0"/>
              <w:rPr>
                <w:sz w:val="21"/>
                <w:szCs w:val="21"/>
                <w:color w:val="auto"/>
              </w:rPr>
            </w:pPr>
          </w:p>
        </w:tc>
      </w:tr>
      <w:tr>
        <w:trPr>
          <w:trHeight w:val="197"/>
        </w:trPr>
        <w:tc>
          <w:tcPr>
            <w:tcW w:w="71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-3025140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-2468245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-848360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-831215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21" w:lineRule="exact"/>
        <w:rPr>
          <w:sz w:val="20"/>
          <w:szCs w:val="20"/>
          <w:color w:val="auto"/>
        </w:rPr>
      </w:pPr>
    </w:p>
    <w:p>
      <w:pPr>
        <w:ind w:right="60" w:firstLine="562"/>
        <w:spacing w:after="0" w:line="258" w:lineRule="auto"/>
        <w:rPr>
          <w:sz w:val="20"/>
          <w:szCs w:val="20"/>
          <w:color w:val="auto"/>
        </w:rPr>
      </w:pPr>
      <w:r>
        <w:rPr>
          <w:rFonts w:ascii="Times New Roman" w:cs="Times New Roman" w:eastAsia="Times New Roman" w:hAnsi="Times New Roman"/>
          <w:sz w:val="18"/>
          <w:szCs w:val="18"/>
          <w:color w:val="auto"/>
        </w:rPr>
        <w:t>STRATTEC SECURITY CORPORATION (the "Company" or “STRATTEC”), headquartered in Milwaukee, Wisconsin, is a leading global provider of advanced automotive access, security, and select user interface solutions. Products include power access solutions such as automated lift gates and power doors, door handles, engineered latches, key fobs, advanced security systems, steering wheel controls, and electronic shifters. While the Company serves major automotive OEMs globally, the majority of sales are to the three largest automobile original equipment manufacturers (“OEMs”) in North America.</w:t>
      </w:r>
    </w:p>
    <w:p>
      <w:pPr>
        <w:spacing w:after="0" w:line="183"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United States generally accepted accounting principles (“GAAP”) for interim financial reporting and with the instructions of Form 10-Q and Article 10 of Regulation S-X. Accordingly, they do not include all of the information and footnotes required by GAAP for complete financial statements. The condensed consolidated balance sheet data as of June 30, 2024 was derived from the Company’s audited financial statements but does not include all disclosures required by GAAP. For additional information, including the Company’s significant accounting policies, refer to the consolidated financial statements and related footnotes in the Annual Report.</w:t>
      </w:r>
    </w:p>
    <w:p>
      <w:pPr>
        <w:spacing w:after="0" w:line="187" w:lineRule="exact"/>
        <w:rPr>
          <w:sz w:val="20"/>
          <w:szCs w:val="20"/>
          <w:color w:val="auto"/>
        </w:rPr>
      </w:pPr>
    </w:p>
    <w:p>
      <w:pPr>
        <w:ind w:right="200" w:firstLine="614"/>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considered necessary for a fair statement of financial results have been made. Such adjustments consist of only those of a normal recurring nature. Operating results for the three and nine months ended March 30, 2025 are not necessarily indicative of the results that may be expected for the entire fiscal year ending June 29, 2025. The condensed consolidated financial statements include the results of all wholly owned subsidiaries, as well as the results of a majority owned joint venture.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121" w:lineRule="exact"/>
        <w:rPr>
          <w:sz w:val="20"/>
          <w:szCs w:val="20"/>
          <w:color w:val="auto"/>
        </w:rPr>
      </w:pPr>
    </w:p>
    <w:p>
      <w:pPr>
        <w:ind w:right="60" w:firstLine="562"/>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intended to improve reportable segment disclosure requirements, primarily through enhanced disclosures about significant segment expenses including segment expenses that are regularly provided to the chief operating decision maker. For the Company, the annual disclosure requirements of this ASU are effective for fiscal years beginning after December 15, 2023 (fiscal 2025), while the interim reporting requirements are applicable in fiscal 2026. The amendments within this ASU are required to be applied retrospectively to all prior periods presented in the financial statements. Adoption of this ASU will result in additional disclosure, but it will not impact the Company's consolidated financial position, results of operations or cash flows.</w:t>
      </w:r>
    </w:p>
    <w:p>
      <w:pPr>
        <w:spacing w:after="0" w:line="187" w:lineRule="exact"/>
        <w:rPr>
          <w:sz w:val="20"/>
          <w:szCs w:val="20"/>
          <w:color w:val="auto"/>
        </w:rPr>
      </w:pPr>
    </w:p>
    <w:p>
      <w:pPr>
        <w:ind w:right="120" w:firstLine="562"/>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This ASU is intended to enhance the transparency and decision usefulness of income tax disclosures to provide information to better assess how an entity's operations and related tax risks and tax planning and operational opportunities affect its tax rate and prospects for future cash flows. For the Company, this ASU is effective for annual periods beginning after December 15, 2024 (fiscal 2026). The Company is currently evaluating the impact the adoption of this standard will have on its consolidated financial statements.</w:t>
      </w:r>
    </w:p>
    <w:p>
      <w:pPr>
        <w:spacing w:after="0" w:line="183" w:lineRule="exact"/>
        <w:rPr>
          <w:sz w:val="20"/>
          <w:szCs w:val="20"/>
          <w:color w:val="auto"/>
        </w:rPr>
      </w:pPr>
    </w:p>
    <w:p>
      <w:pPr>
        <w:ind w:firstLine="651"/>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more detailed information about specified categories of expenses (purchases of inventory, employee compensation, depreciation, intangible asset amortization and depletion) included in certain expense captions presented on the face of the income statement. The ASU is effective for fiscal years beginning after December 15, 2026 (fiscal 2028) and for interim periods beginning after December 15, 2027 (fiscal 2029). The Company is currently evaluating the impact the adoption of this standard will have on its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21" w:lineRule="exact"/>
        <w:rPr>
          <w:sz w:val="20"/>
          <w:szCs w:val="20"/>
          <w:color w:val="auto"/>
        </w:rPr>
      </w:pPr>
    </w:p>
    <w:p>
      <w:pPr>
        <w:jc w:val="both"/>
        <w:ind w:right="220" w:firstLine="562"/>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production of products sold to OEMs, or Tier 1 suppliers at the direction of the OEM, under long-term supply agreements supporting new vehicle production. Such agreements also require related production of service parts subsequent to the initial vehicle production periods. Additionally, the Company generates revenue from the production of products sold in aftermarket service channels.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560"/>
        <w:spacing w:after="0"/>
        <w:rPr>
          <w:sz w:val="20"/>
          <w:szCs w:val="20"/>
          <w:color w:val="auto"/>
        </w:rPr>
      </w:pPr>
      <w:r>
        <w:rPr>
          <w:rFonts w:ascii="Times New Roman" w:cs="Times New Roman" w:eastAsia="Times New Roman" w:hAnsi="Times New Roman"/>
          <w:sz w:val="18"/>
          <w:szCs w:val="18"/>
          <w:color w:val="auto"/>
        </w:rPr>
        <w:t>Revenue by product category and by customer are as follows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3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r>
      <w:tr>
        <w:trPr>
          <w:trHeight w:val="173"/>
        </w:trPr>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access solutions</w:t>
            </w: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34,552</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90,769</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Door handles &amp; exterior trim</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98,465</w:t>
            </w:r>
          </w:p>
        </w:tc>
        <w:tc>
          <w:tcPr>
            <w:tcW w:w="18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Keys &amp; locksets</w:t>
            </w: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70,905</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80,885</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Latches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49,249</w:t>
            </w:r>
          </w:p>
        </w:tc>
        <w:tc>
          <w:tcPr>
            <w:tcW w:w="18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User interface controls</w:t>
            </w: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Aftermarket &amp; OE service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80" w:type="dxa"/>
            <w:vAlign w:val="bottom"/>
          </w:tcPr>
          <w:p>
            <w:pPr>
              <w:spacing w:after="0"/>
              <w:rPr>
                <w:sz w:val="18"/>
                <w:szCs w:val="18"/>
                <w:color w:val="auto"/>
              </w:rPr>
            </w:pPr>
          </w:p>
        </w:tc>
      </w:tr>
      <w:tr>
        <w:trPr>
          <w:trHeight w:val="216"/>
        </w:trPr>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30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394,711</w:t>
            </w:r>
          </w:p>
        </w:tc>
        <w:tc>
          <w:tcPr>
            <w:tcW w:w="18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5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r>
      <w:tr>
        <w:trPr>
          <w:trHeight w:val="173"/>
        </w:trPr>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122,630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119,735</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82,337</w:t>
            </w:r>
          </w:p>
        </w:tc>
        <w:tc>
          <w:tcPr>
            <w:tcW w:w="18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45,448</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18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3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58,397</w:t>
            </w: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57,093</w:t>
            </w:r>
          </w:p>
        </w:tc>
        <w:tc>
          <w:tcPr>
            <w:tcW w:w="18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43,383</w:t>
            </w:r>
          </w:p>
        </w:tc>
        <w:tc>
          <w:tcPr>
            <w:tcW w:w="180" w:type="dxa"/>
            <w:vAlign w:val="bottom"/>
          </w:tcPr>
          <w:p>
            <w:pPr>
              <w:spacing w:after="0"/>
              <w:rPr>
                <w:sz w:val="18"/>
                <w:szCs w:val="18"/>
                <w:color w:val="auto"/>
              </w:rPr>
            </w:pPr>
          </w:p>
        </w:tc>
      </w:tr>
      <w:tr>
        <w:trPr>
          <w:trHeight w:val="230"/>
        </w:trPr>
        <w:tc>
          <w:tcPr>
            <w:tcW w:w="30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144,082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413,053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394,711</w:t>
            </w:r>
          </w:p>
        </w:tc>
        <w:tc>
          <w:tcPr>
            <w:tcW w:w="180" w:type="dxa"/>
            <w:vAlign w:val="bottom"/>
            <w:shd w:val="clear" w:color="auto" w:fill="CFF0FC"/>
          </w:tcPr>
          <w:p>
            <w:pPr>
              <w:spacing w:after="0"/>
              <w:rPr>
                <w:sz w:val="19"/>
                <w:szCs w:val="19"/>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-1602105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-1602105</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-1602105</wp:posOffset>
            </wp:positionV>
            <wp:extent cx="51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-1602105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PRE-PRODUCTION COSTS</w:t>
      </w:r>
    </w:p>
    <w:p>
      <w:pPr>
        <w:spacing w:after="0" w:line="121"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The Company incurs customer-owned tooling and engineering development pre-production costs. Pre-production costs for which reimbursement is contractually guaranteed by the customer are accumulated on the balance sheet and are then billed upon formal acceptance by the customer of products produced with the individual tools or upon customer approval of the completed engineering development. To the extent that the costs exceed expected reimbursement from the customer, expense is recognized. Costs for tooling that the Company owns are capitalized and depreciated over the estimated useful lives of the tools.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VALUE-ADDED TAX</w:t>
      </w:r>
    </w:p>
    <w:p>
      <w:pPr>
        <w:spacing w:after="0" w:line="121"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The Company's Mexican subsidiaries are subject to value-added tax (“VAT”). VAT is paid on goods and services and collected on sales. A VAT certification generally allows for relief from VAT tax for temporarily imported goods. A temporary suspension of our VAT tax certification during the second quarter of fiscal 2024 has resulted in an elevated value-added tax recoverable, as VAT was required to be paid on all components temporarily imported into Mexico for periods in which the certification was suspended. Such periods are now subject to an audit by the Mexican tax authority before VAT refunds will be received.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INSTRUMENTS</w:t>
      </w:r>
    </w:p>
    <w:p>
      <w:pPr>
        <w:spacing w:after="0" w:line="121"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The Company owns and operates manufacturing operations in Mexico. As a result, a portion of manufacturing costs are incurred in Mexican pesos, which causes earnings and cash flows to fluctuate due to changes in the U.S. dollar/Mexican peso exchange rate. During both fiscal 2025 and 2024, the Company entered into contracts with Bank of Montreal that provide for monthly Mexican peso currency forward contracts for a portion of peso denominated operating costs. The objective in entering into currency forward contracts is to minimize earnings volatility resulting from changes in foreign currency exchange rates. The Mexican peso forward contracts are not designated as hedges. As a result, all currency forward contracts are recognized in the accompanying condensed consolidated financial statements at fair value and changes in the fair value are reported in earnings as part of Other (Expense) Income, net.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outstanding forward contracts as of March 30, 2025 (in thousands, except with respect to the average forward contractual exchange rate):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Forward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Exchange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Fair Market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31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7, 2025 - August 18, 2025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Buy MXP/Sell USD</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April 7, 2025 − March 17, 2026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19"/>
                <w:szCs w:val="19"/>
                <w:color w:val="auto"/>
              </w:rPr>
            </w:pPr>
          </w:p>
        </w:tc>
        <w:tc>
          <w:tcPr>
            <w:tcW w:w="3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2340" w:type="dxa"/>
            <w:vAlign w:val="bottom"/>
            <w:tcBorders>
              <w:top w:val="single" w:sz="8" w:color="CFF0FC"/>
            </w:tcBorders>
            <w:shd w:val="clear" w:color="auto" w:fill="CFF0FC"/>
          </w:tcPr>
          <w:p>
            <w:pPr>
              <w:spacing w:after="0" w:line="20" w:lineRule="exact"/>
              <w:rPr>
                <w:sz w:val="1"/>
                <w:szCs w:val="1"/>
                <w:color w:val="auto"/>
              </w:rPr>
            </w:pPr>
          </w:p>
        </w:tc>
        <w:tc>
          <w:tcPr>
            <w:tcW w:w="3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59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Company assesses the inputs used to measure the fair value of financial assets and liabilities using a three-tier hierarchy. Level 1 inputs include unadjusted quoted prices for identical instruments and are the most observable. Level 2 inputs include quoted prices for similar assets and observable inputs such as interest rates, foreign currency exchange rates, commodity rates and yield curves. Level 3 inputs are not observable in the market and include management’s own judgments about the assumptions market participants would use in pricing an asset or liability.</w:t>
      </w:r>
    </w:p>
    <w:p>
      <w:pPr>
        <w:spacing w:after="0" w:line="180" w:lineRule="exact"/>
        <w:rPr>
          <w:sz w:val="20"/>
          <w:szCs w:val="20"/>
          <w:color w:val="auto"/>
        </w:rPr>
      </w:pPr>
    </w:p>
    <w:p>
      <w:pPr>
        <w:ind w:right="20" w:firstLine="614"/>
        <w:spacing w:after="0" w:line="258" w:lineRule="auto"/>
        <w:rPr>
          <w:sz w:val="20"/>
          <w:szCs w:val="20"/>
          <w:color w:val="auto"/>
        </w:rPr>
      </w:pPr>
      <w:r>
        <w:rPr>
          <w:rFonts w:ascii="Times New Roman" w:cs="Times New Roman" w:eastAsia="Times New Roman" w:hAnsi="Times New Roman"/>
          <w:sz w:val="18"/>
          <w:szCs w:val="18"/>
          <w:color w:val="auto"/>
        </w:rPr>
        <w:t>The fair value of the Company’s cash and cash equivalents, accounts receivable, financial assets held in a Rabbi Trust, accounts payable and variable rate borrowings under the credit agreements approximated book value at both March 30, 2025 and June 30, 2024 due to their short-term nature and the fact that the interest rates approximated market rates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The fair value of all Mexican peso forward contracts were based on quoted inactive market prices and therefore classified as Level 2 within the valuation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as of March 30, 2025 and June 30, 2024 (in thousands):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10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234,012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305,246</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(200,077)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(219,062)</w:t>
            </w:r>
          </w:p>
        </w:tc>
      </w:tr>
      <w:tr>
        <w:trPr>
          <w:trHeight w:val="210"/>
        </w:trPr>
        <w:tc>
          <w:tcPr>
            <w:tcW w:w="68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86,184</w:t>
            </w:r>
          </w:p>
        </w:tc>
        <w:tc>
          <w:tcPr>
            <w:tcW w:w="100" w:type="dxa"/>
            <w:vAlign w:val="bottom"/>
            <w:tcBorders>
              <w:top w:val="single" w:sz="8" w:color="CFF0FC"/>
            </w:tcBorders>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-453390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RESTRUCTURING</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an effort to optimize its cost structure, the Company has initiated actions to reduce its headcount. The total cost of these actions was $0.8 million and $1.1 million for the three and nine months ended March 30, 2025. All accrued severance will be paid in the next 12 months. Restructuring expense is reported in the accompanying condensed consolidated Statements of Income and Comprehensive Income as part of Engineering, Selling and Administrative Expenses.</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restructuring reserve were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6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Borders>
              <w:top w:val="single" w:sz="8" w:color="auto"/>
            </w:tcBorders>
            <w:gridSpan w:val="3"/>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60" w:type="dxa"/>
            <w:vAlign w:val="bottom"/>
            <w:tcBorders>
              <w:top w:val="single" w:sz="8" w:color="auto"/>
            </w:tcBorders>
          </w:tcPr>
          <w:p>
            <w:pPr>
              <w:jc w:val="right"/>
              <w:ind w:right="23"/>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r>
      <w:tr>
        <w:trPr>
          <w:trHeight w:val="173"/>
        </w:trPr>
        <w:tc>
          <w:tcPr>
            <w:tcW w:w="3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60" w:type="dxa"/>
            <w:vAlign w:val="bottom"/>
            <w:gridSpan w:val="2"/>
            <w:shd w:val="clear" w:color="auto" w:fill="CFF0FC"/>
          </w:tcPr>
          <w:p>
            <w:pPr>
              <w:jc w:val="right"/>
              <w:ind w:right="66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2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Reclassification from</w:t>
            </w:r>
          </w:p>
        </w:tc>
        <w:tc>
          <w:tcPr>
            <w:tcW w:w="8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postemployment obligations</w:t>
            </w:r>
          </w:p>
        </w:tc>
        <w:tc>
          <w:tcPr>
            <w:tcW w:w="8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(1,278)</w:t>
            </w:r>
          </w:p>
        </w:tc>
        <w:tc>
          <w:tcPr>
            <w:tcW w:w="10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8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6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CREDIT FACILITIES</w:t>
      </w:r>
    </w:p>
    <w:p>
      <w:pPr>
        <w:spacing w:after="0" w:line="121" w:lineRule="exact"/>
        <w:rPr>
          <w:sz w:val="20"/>
          <w:szCs w:val="20"/>
          <w:color w:val="auto"/>
        </w:rPr>
      </w:pPr>
    </w:p>
    <w:p>
      <w:pPr>
        <w:ind w:firstLine="562"/>
        <w:spacing w:after="0" w:line="253" w:lineRule="auto"/>
        <w:rPr>
          <w:sz w:val="20"/>
          <w:szCs w:val="20"/>
          <w:color w:val="auto"/>
        </w:rPr>
      </w:pPr>
      <w:r>
        <w:rPr>
          <w:rFonts w:ascii="Times New Roman" w:cs="Times New Roman" w:eastAsia="Times New Roman" w:hAnsi="Times New Roman"/>
          <w:sz w:val="18"/>
          <w:szCs w:val="18"/>
          <w:color w:val="auto"/>
        </w:rPr>
        <w:t>The Company has a $40 million secured revolving credit facility (the “STRATTEC Credit Facility”) with BMO Harris Bank N.A., while the joint venture has a $20 million secured revolving credit facility (the “ADAC-STRATTEC Credit Facility”) with BMO Harris Bank N.A., which is guaranteed by the Company. The credit facilities both expire August 1, 2026. Borrowings under both credit facilities are secured by U.S. cash balances, accounts receivable, inventory, and fixed assets located in the U.S. Interest on borrowings under the STRATTEC Credit Facility were at varying rates based, at our option, on the bank's prime rate or SOFR plus 1.35% prior to September 5, 2023 and SOFR plus 1.85% subsequent to September 5, 2023. Interest on borrowings under the ADAC-STRATTEC Credit Facility were at varying rates based, at our option, on the bank's prime rate with no interest rate margin through May 30, 2024 and a 2% interest rate margin subsequent to May 30, 2024 or SOFR plus 1.35% prior to May 30, 2024 and SOFR plus 3.10% subsequent to May 30, 2024. Both credit facilities contain a restrictive financial covenant that requires the applicable borrower to maintain a minimum net worth level. The ADAC-STRATTEC Credit Facility includes an additional restrictive financial covenant that requires the maintenance of a minimum fixed charge coverage ratio. As of March 30, 2025, the Company was in compliance with all financial covenants.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Outstanding borrowings under the credit facilities were as follows (in thousands):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r>
      <w:tr>
        <w:trPr>
          <w:trHeight w:val="230"/>
        </w:trPr>
        <w:tc>
          <w:tcPr>
            <w:tcW w:w="43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Average outstanding borrowings and the weighted average interest rate under each credit facility referenced above were as follows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Average Outstanding Borrowings</w:t>
            </w:r>
          </w:p>
        </w:tc>
        <w:tc>
          <w:tcPr>
            <w:tcW w:w="200" w:type="dxa"/>
            <w:vAlign w:val="bottom"/>
          </w:tcPr>
          <w:p>
            <w:pPr>
              <w:spacing w:after="0"/>
              <w:rPr>
                <w:sz w:val="13"/>
                <w:szCs w:val="13"/>
                <w:color w:val="auto"/>
              </w:rPr>
            </w:pPr>
          </w:p>
        </w:tc>
        <w:tc>
          <w:tcPr>
            <w:tcW w:w="3280" w:type="dxa"/>
            <w:vAlign w:val="bottom"/>
            <w:tcBorders>
              <w:bottom w:val="single" w:sz="8" w:color="auto"/>
            </w:tcBorders>
            <w:gridSpan w:val="3"/>
          </w:tcPr>
          <w:p>
            <w:pPr>
              <w:ind w:left="640"/>
              <w:spacing w:after="0" w:line="155" w:lineRule="exact"/>
              <w:rPr>
                <w:sz w:val="20"/>
                <w:szCs w:val="20"/>
                <w:color w:val="auto"/>
              </w:rPr>
            </w:pPr>
            <w:r>
              <w:rPr>
                <w:rFonts w:ascii="Times New Roman" w:cs="Times New Roman" w:eastAsia="Times New Roman" w:hAnsi="Times New Roman"/>
                <w:sz w:val="14"/>
                <w:szCs w:val="14"/>
                <w:b w:val="1"/>
                <w:bCs w:val="1"/>
                <w:color w:val="auto"/>
              </w:rPr>
              <w:t>Weighted Average Interest Rate</w:t>
            </w:r>
          </w:p>
        </w:tc>
        <w:tc>
          <w:tcPr>
            <w:tcW w:w="180" w:type="dxa"/>
            <w:vAlign w:val="bottom"/>
          </w:tcPr>
          <w:p>
            <w:pPr>
              <w:spacing w:after="0"/>
              <w:rPr>
                <w:sz w:val="13"/>
                <w:szCs w:val="13"/>
                <w:color w:val="auto"/>
              </w:rPr>
            </w:pPr>
          </w:p>
        </w:tc>
      </w:tr>
      <w:tr>
        <w:trPr>
          <w:trHeight w:val="117"/>
        </w:trPr>
        <w:tc>
          <w:tcPr>
            <w:tcW w:w="3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34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42"/>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1740" w:type="dxa"/>
            <w:vAlign w:val="bottom"/>
            <w:gridSpan w:val="2"/>
          </w:tcPr>
          <w:p>
            <w:pPr>
              <w:jc w:val="right"/>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r>
      <w:tr>
        <w:trPr>
          <w:trHeight w:val="173"/>
        </w:trPr>
        <w:tc>
          <w:tcPr>
            <w:tcW w:w="3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5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STRATTEC Credit Facility</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ADAC-STRATTEC Credit Facility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ind w:right="300" w:firstLine="562"/>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legal actions and claims incidental to our business, including those arising out of alleged defects, alleged breaches of contracts, product warranties, intellectual property matters and employment related matters. The Company believes that the outcome of such matters will not have a material adverse impact on the consolidated financial position,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WARRANTY</w:t>
      </w:r>
    </w:p>
    <w:p>
      <w:pPr>
        <w:spacing w:after="0" w:line="121"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The Company has a warranty reserve related to known and potential exposure to warranty claims in the event products fail to perform as expected and in the event the Company may be required to participate in the repair costs incurred by customers for such products. The estimation of the warranty reserve involves judgment and estimates and is based on an analysis of historical warranty data as well as current trends and information. Changes in the warranty reserve were as follows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7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200" w:type="dxa"/>
            <w:vAlign w:val="bottom"/>
            <w:shd w:val="clear" w:color="auto" w:fill="CFF0FC"/>
          </w:tcPr>
          <w:p>
            <w:pPr>
              <w:spacing w:after="0"/>
              <w:rPr>
                <w:sz w:val="18"/>
                <w:szCs w:val="18"/>
                <w:color w:val="auto"/>
              </w:rPr>
            </w:pPr>
          </w:p>
        </w:tc>
      </w:tr>
      <w:tr>
        <w:trPr>
          <w:trHeight w:val="216"/>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8"/>
                <w:szCs w:val="18"/>
                <w:color w:val="auto"/>
              </w:rPr>
            </w:pP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4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13. SHAREHOLDERS' EQUITY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activity impacting shareholders’ equity follows (in thousands):</w:t>
      </w:r>
    </w:p>
    <w:p>
      <w:pPr>
        <w:spacing w:after="0" w:line="1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Three and Nine Months Ended March 30, 2025</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18"/>
        </w:trPr>
        <w:tc>
          <w:tcPr>
            <w:tcW w:w="2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6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1"/>
                <w:szCs w:val="11"/>
                <w:color w:val="auto"/>
              </w:rPr>
            </w:pPr>
          </w:p>
        </w:tc>
        <w:tc>
          <w:tcPr>
            <w:tcW w:w="10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0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June 30,2024</w:t>
            </w:r>
          </w:p>
        </w:tc>
        <w:tc>
          <w:tcPr>
            <w:tcW w:w="700" w:type="dxa"/>
            <w:vAlign w:val="bottom"/>
            <w:gridSpan w:val="2"/>
            <w:shd w:val="clear" w:color="auto" w:fill="CFF0FC"/>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101,024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250,612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(15,689)</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(135,478)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(1,671)</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 net of tax</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September 29, 2024</w:t>
            </w:r>
          </w:p>
        </w:tc>
        <w:tc>
          <w:tcPr>
            <w:tcW w:w="700" w:type="dxa"/>
            <w:vAlign w:val="bottom"/>
            <w:gridSpan w:val="2"/>
            <w:shd w:val="clear" w:color="auto" w:fill="CFF0FC"/>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101,218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(17,104)</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(135,471)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(759)</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(486)</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 net of tax</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December 29,2024</w:t>
            </w: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6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102,118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255,634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(17,827)</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(135,465)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23,619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8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5,396</w:t>
            </w:r>
          </w:p>
        </w:tc>
        <w:tc>
          <w:tcPr>
            <w:tcW w:w="2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 net of tax</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March 30, 2025</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102,888</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261,030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(17,836)</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(135,459)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234,601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-959485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-942340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-959485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-942340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-959485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-942340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-959485</wp:posOffset>
            </wp:positionV>
            <wp:extent cx="596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-942340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-959485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-942340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-959485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-942340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b w:val="1"/>
          <w:bCs w:val="1"/>
          <w:color w:val="auto"/>
        </w:rPr>
        <w:t>Three and Nine Months Ended March 31, 2024</w:t>
      </w:r>
    </w:p>
    <w:p>
      <w:pPr>
        <w:spacing w:after="0" w:line="6" w:lineRule="exact"/>
        <w:rPr>
          <w:sz w:val="20"/>
          <w:szCs w:val="20"/>
          <w:color w:val="auto"/>
        </w:rPr>
      </w:pPr>
    </w:p>
    <w:tbl>
      <w:tblPr>
        <w:tblLayout w:type="fixed"/>
        <w:tblInd w:w="580" w:type="dxa"/>
        <w:tblCellMar>
          <w:top w:w="0" w:type="dxa"/>
          <w:left w:w="0" w:type="dxa"/>
          <w:bottom w:w="0" w:type="dxa"/>
          <w:right w:w="0" w:type="dxa"/>
        </w:tblCellMar>
      </w:tblPr>
      <w:tr>
        <w:trPr>
          <w:trHeight w:val="118"/>
        </w:trPr>
        <w:tc>
          <w:tcPr>
            <w:tcW w:w="24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Excess of Par</w:t>
            </w:r>
          </w:p>
        </w:tc>
        <w:tc>
          <w:tcPr>
            <w:tcW w:w="140" w:type="dxa"/>
            <w:vAlign w:val="bottom"/>
          </w:tcPr>
          <w:p>
            <w:pPr>
              <w:spacing w:after="0"/>
              <w:rPr>
                <w:sz w:val="11"/>
                <w:szCs w:val="11"/>
                <w:color w:val="auto"/>
              </w:rPr>
            </w:pPr>
          </w:p>
        </w:tc>
        <w:tc>
          <w:tcPr>
            <w:tcW w:w="780" w:type="dxa"/>
            <w:vAlign w:val="bottom"/>
          </w:tcPr>
          <w:p>
            <w:pPr>
              <w:jc w:val="right"/>
              <w:ind w:right="16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1"/>
                <w:szCs w:val="11"/>
                <w:color w:val="auto"/>
              </w:rPr>
            </w:pPr>
          </w:p>
        </w:tc>
        <w:tc>
          <w:tcPr>
            <w:tcW w:w="11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48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00" w:type="dxa"/>
            <w:vAlign w:val="bottom"/>
          </w:tcPr>
          <w:p>
            <w:pPr>
              <w:spacing w:after="0"/>
              <w:rPr>
                <w:sz w:val="13"/>
                <w:szCs w:val="1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July 2, 2023</w:t>
            </w:r>
          </w:p>
        </w:tc>
        <w:tc>
          <w:tcPr>
            <w:tcW w:w="400" w:type="dxa"/>
            <w:vAlign w:val="bottom"/>
            <w:shd w:val="clear" w:color="auto" w:fill="CFF0FC"/>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100,309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(14,194)</w:t>
            </w: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(135,526)</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26,061</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211,024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(379)</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18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SPA non-</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controlling interest</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5"/>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net of tax</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Balance, October 1, 2023</w:t>
            </w: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100,721</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(14,527)</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(135,514)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26,081</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net of tax</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239,486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(13,878)</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(135,501)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26,251</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and postretirement</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 net of tax</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Employee stock purchases</w:t>
            </w:r>
          </w:p>
        </w:tc>
        <w:tc>
          <w:tcPr>
            <w:tcW w:w="4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(13,205)</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(135,489)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-2005330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-2005330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-2005330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-2005330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-2005330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-2005330</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-2005330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-1096645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-1096645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-1096645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-1096645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-1096645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-1096645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-1096645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-161925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-161925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-161925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-161925</wp:posOffset>
            </wp:positionV>
            <wp:extent cx="59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-161925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305" w:right="8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14. OTHER (EXPENSE) INCOME, NET</w:t>
      </w:r>
    </w:p>
    <w:p>
      <w:pPr>
        <w:spacing w:after="0" w:line="121" w:lineRule="exact"/>
        <w:rPr>
          <w:sz w:val="20"/>
          <w:szCs w:val="20"/>
          <w:color w:val="auto"/>
        </w:rPr>
      </w:pPr>
    </w:p>
    <w:p>
      <w:pPr>
        <w:ind w:right="300" w:firstLine="562"/>
        <w:spacing w:after="0" w:line="282" w:lineRule="auto"/>
        <w:rPr>
          <w:sz w:val="20"/>
          <w:szCs w:val="20"/>
          <w:color w:val="auto"/>
        </w:rPr>
      </w:pPr>
      <w:r>
        <w:rPr>
          <w:rFonts w:ascii="Times New Roman" w:cs="Times New Roman" w:eastAsia="Times New Roman" w:hAnsi="Times New Roman"/>
          <w:sz w:val="18"/>
          <w:szCs w:val="18"/>
          <w:color w:val="auto"/>
        </w:rPr>
        <w:t>Other (expense) income, net included in the accompanying Condensed Consolidated Statements of Income and Comprehensive Income was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7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200" w:type="dxa"/>
            <w:vAlign w:val="bottom"/>
          </w:tcPr>
          <w:p>
            <w:pPr>
              <w:spacing w:after="0"/>
              <w:rPr>
                <w:sz w:val="10"/>
                <w:szCs w:val="10"/>
                <w:color w:val="auto"/>
              </w:rPr>
            </w:pP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9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(loss) gain</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(141)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 (loss) on peso</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contracts, net</w:t>
            </w:r>
          </w:p>
        </w:tc>
        <w:tc>
          <w:tcPr>
            <w:tcW w:w="9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0" w:type="dxa"/>
            <w:vAlign w:val="bottom"/>
          </w:tcPr>
          <w:p>
            <w:pPr>
              <w:spacing w:after="0"/>
              <w:rPr>
                <w:sz w:val="20"/>
                <w:szCs w:val="20"/>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plans cost</w:t>
            </w:r>
          </w:p>
        </w:tc>
        <w:tc>
          <w:tcPr>
            <w:tcW w:w="9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(283)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Rabbi trust (loss) gain on investments</w:t>
            </w:r>
          </w:p>
        </w:tc>
        <w:tc>
          <w:tcPr>
            <w:tcW w:w="9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200" w:type="dxa"/>
            <w:vAlign w:val="bottom"/>
          </w:tcPr>
          <w:p>
            <w:pPr>
              <w:spacing w:after="0"/>
              <w:rPr>
                <w:sz w:val="18"/>
                <w:szCs w:val="18"/>
                <w:color w:val="auto"/>
              </w:rPr>
            </w:pP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The Company's income tax expense and effective tax rate for the three and nine month periods ended March 30, 2025 and March 31, 2024 were as follows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3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80" w:type="dxa"/>
            <w:vAlign w:val="bottom"/>
          </w:tcPr>
          <w:p>
            <w:pPr>
              <w:spacing w:after="0"/>
              <w:rPr>
                <w:sz w:val="10"/>
                <w:szCs w:val="10"/>
                <w:color w:val="auto"/>
              </w:rPr>
            </w:pPr>
          </w:p>
        </w:tc>
      </w:tr>
      <w:tr>
        <w:trPr>
          <w:trHeight w:val="173"/>
        </w:trPr>
        <w:tc>
          <w:tcPr>
            <w:tcW w:w="3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191"/>
        </w:trPr>
        <w:tc>
          <w:tcPr>
            <w:tcW w:w="39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Income before provision for income taxes and</w:t>
            </w: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80" w:type="dxa"/>
            <w:vAlign w:val="bottom"/>
            <w:shd w:val="clear" w:color="auto" w:fill="CFF0FC"/>
          </w:tcPr>
          <w:p>
            <w:pPr>
              <w:spacing w:after="0"/>
              <w:rPr>
                <w:sz w:val="20"/>
                <w:szCs w:val="20"/>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8"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primarily Mexico. The effective tax rate for the three month period ended March 31, 2024 was impacted by a shift in our global earnings mix. The Company's income tax positions are based on interpretations of income tax laws and rulings in each of the jurisdictions that the Company operates. Interim income tax expense is determined based on an estimate of the overall annual effective income tax rate which can vary due to the relationship of foreign and domestic earnings, state taxes and available deductions, credits and discrete items.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EARNINGS PER SHARE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reconciliation of the components of the basic and diluted per-share computations follows (in thousands, except per share amounts):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STRATTEC</w:t>
            </w: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SECURITY CORPORATION</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dilutive securities - employee stock</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plan</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shares excluded from the effect of</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dilutive securities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-847725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-830580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-847725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-830580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-847725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-830580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-847725</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-830580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17. RELATED PARTY</w:t>
      </w:r>
    </w:p>
    <w:p>
      <w:pPr>
        <w:spacing w:after="0" w:line="121"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The Company owns 51% of a joint venture with ADAC Automotive (“ADAC”), which was formed in fiscal year 2007 to support customers with door handle and exterior trim demand from injection molding and assembly operations in Mexico. The joint venture's financial results are consolidated with the financial results of the Company. The following tables summarize the related party transactions that arise as a result of the joint venture operating agreement (in thousands):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9"/>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08"/>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4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ADAC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March 30, 2025</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24"/>
                <w:szCs w:val="24"/>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ADAC</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FF0FC"/>
          </w:tcPr>
          <w:p>
            <w:pPr>
              <w:spacing w:after="0"/>
              <w:rPr>
                <w:sz w:val="18"/>
                <w:szCs w:val="18"/>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to ADAC</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260" w:type="dxa"/>
            <w:vAlign w:val="bottom"/>
          </w:tcPr>
          <w:p>
            <w:pPr>
              <w:spacing w:after="0"/>
              <w:rPr>
                <w:sz w:val="20"/>
                <w:szCs w:val="20"/>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STOCK-BASED COMPENSATION</w:t>
      </w:r>
    </w:p>
    <w:p>
      <w:pPr>
        <w:spacing w:after="0" w:line="121"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The Company has granted service-based restricted stock awards (“RSAs”) and performance stock units (“PSUs”) to employees and non-employee directors under the STRATTEC SECURITY CORPORATION 2024 Equity Incentive Plan (“2024 Equity Incentive Plan”). Prior to October 2024, stock options and RSAs were granted under the Amended and Restated STRATTEC SECURITY CORPORATION Stock Incentive Plan (“Stock Incentive Plan”). Awards granted under the 2024 Equity Incentive Plan that expire or are canceled without delivery of shares become available for re-issuance. No additional grants will be made under the Stock Incentive Plan.</w:t>
      </w:r>
    </w:p>
    <w:p>
      <w:pPr>
        <w:spacing w:after="0" w:line="183" w:lineRule="exact"/>
        <w:rPr>
          <w:sz w:val="20"/>
          <w:szCs w:val="20"/>
          <w:color w:val="auto"/>
        </w:rPr>
      </w:pPr>
    </w:p>
    <w:p>
      <w:pPr>
        <w:ind w:right="200" w:firstLine="562"/>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under the 2024 Equity Incentive Plan is 550,000. As of March 30, 2025, there were 435,742 shares available for future awards. No stock options were outstanding as of March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Shares of restricted stock granted under approved plans have voting rights, earn dividends and vest over a pre-determined period of time, up to three years from the date of grant. The fair value of restricted stock awards are based on the closing stock price on the date of grant. A summary of RSA activity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30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June 30, 2024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79,325</w:t>
            </w:r>
          </w:p>
        </w:tc>
        <w:tc>
          <w:tcPr>
            <w:tcW w:w="2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(48,963)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March 30, 2025</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129,139</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600" w:firstLine="562"/>
        <w:spacing w:after="0" w:line="282" w:lineRule="auto"/>
        <w:rPr>
          <w:sz w:val="20"/>
          <w:szCs w:val="20"/>
          <w:color w:val="auto"/>
        </w:rPr>
      </w:pPr>
      <w:r>
        <w:rPr>
          <w:rFonts w:ascii="Times New Roman" w:cs="Times New Roman" w:eastAsia="Times New Roman" w:hAnsi="Times New Roman"/>
          <w:sz w:val="18"/>
          <w:szCs w:val="18"/>
          <w:color w:val="auto"/>
        </w:rPr>
        <w:t>As of March 30, 2025, there was $3.3 million of unrecognized compensation cost related to unvested restricted stock awards, which will be expensed over the remaining vesting period of approximately 1.2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As of March 30, 2025, 16,878 PSUs were outstanding which may be earned based on the achievement of certain financial metrics over the three year period ending June 27, 2027. The PSUs will vest ranging from 0% (for performance below threshold) to 200% (for performance above target) and continued employment. The fair value of PSUs was based on the closing stock price on the date of grant. The PSUs earn dividend equivalents during the vesting period while compensation expense is recognized over the service period when it is probable that the performance criteria will be met. As of March 30, 2025, there was $555,000 of unrecognized compensation cost related to unvested PSUs, which will be expensed over the remaining vesting period of approximately 2.2 years.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19. ACCUMULATED OTHER 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changes in accumulated other comprehensive loss (“AOCL”)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7"/>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30, 2025</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29, 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6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30, 2025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160" w:type="dxa"/>
            <w:vAlign w:val="bottom"/>
            <w:tcBorders>
              <w:left w:val="single" w:sz="8" w:color="CFF0FC"/>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6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1,073</w:t>
            </w:r>
          </w:p>
        </w:tc>
        <w:tc>
          <w:tcPr>
            <w:tcW w:w="3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13,878</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 before reclassifications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198"/>
        </w:trPr>
        <w:tc>
          <w:tcPr>
            <w:tcW w:w="58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attributable to non-</w:t>
            </w:r>
          </w:p>
        </w:tc>
        <w:tc>
          <w:tcPr>
            <w:tcW w:w="16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1"/>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Nine Months Ended March 30, 2024</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60" w:type="dxa"/>
            <w:vAlign w:val="bottom"/>
            <w:tcBorders>
              <w:left w:val="single" w:sz="8" w:color="CFF0FC"/>
            </w:tcBorders>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other comprehensive loss before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6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 non-</w:t>
            </w: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30, 2025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160" w:type="dxa"/>
            <w:vAlign w:val="bottom"/>
            <w:tcBorders>
              <w:left w:val="single" w:sz="8" w:color="CFF0FC"/>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-5811520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-5811520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-5811520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-5253990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-5253990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-5253990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-4551045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-4533900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-4551045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-4533900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-4551045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-2905125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-2905125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-2905125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-2493645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-2493645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-2493645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-1285240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-1285240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-728345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-728345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-728345</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March 31, 2024</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20" w:type="dxa"/>
            <w:vAlign w:val="bottom"/>
          </w:tcPr>
          <w:p>
            <w:pPr>
              <w:spacing w:after="0"/>
              <w:rPr>
                <w:sz w:val="10"/>
                <w:szCs w:val="10"/>
                <w:color w:val="auto"/>
              </w:rPr>
            </w:pPr>
          </w:p>
        </w:tc>
        <w:tc>
          <w:tcPr>
            <w:tcW w:w="13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Retirement</w:t>
            </w: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July 2, 2023</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other comprehensive income before reclassifications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6"/>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Unrecognized net loss</w:t>
            </w: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reclassifications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58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198"/>
        </w:trPr>
        <w:tc>
          <w:tcPr>
            <w:tcW w:w="588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comprehensive income attributable to non-</w:t>
            </w:r>
          </w:p>
        </w:tc>
        <w:tc>
          <w:tcPr>
            <w:tcW w:w="16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FF0FC"/>
          </w:tcPr>
          <w:p>
            <w:pPr>
              <w:spacing w:after="0"/>
              <w:rPr>
                <w:sz w:val="17"/>
                <w:szCs w:val="17"/>
                <w:color w:val="auto"/>
              </w:rPr>
            </w:pPr>
          </w:p>
        </w:tc>
        <w:tc>
          <w:tcPr>
            <w:tcW w:w="13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1"/>
        </w:trPr>
        <w:tc>
          <w:tcPr>
            <w:tcW w:w="5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16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-582295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-582295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-582295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478155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33" w:right="8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STRATTEC SECURITY CORPORATION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RESULTS OF OPERATIONS</w:t>
      </w:r>
    </w:p>
    <w:p>
      <w:pPr>
        <w:spacing w:after="0" w:line="207" w:lineRule="exact"/>
        <w:rPr>
          <w:sz w:val="20"/>
          <w:szCs w:val="20"/>
          <w:color w:val="auto"/>
        </w:rPr>
      </w:pPr>
    </w:p>
    <w:p>
      <w:pPr>
        <w:ind w:right="580" w:firstLine="562"/>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STRATTEC SECURITY CORPORATION’s accompanying Condensed Consolidated Financial Statements and Notes thereto and its Annual Report. Unless otherwise indicated, all references to quarters and years refer to fiscal quarters and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8"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With a history spanning over 110 years, STRATTEC has consistently been at the forefront of innovation in vehicle security, transitioning from mechanical to integrated electro-mechanical systems. Our largest customers are three leading automotive OEMs in North America, but we also provide products to other OEMs around the world. Our offering is comprised of products primarily related to vehicle power access, security and authorization and select user interface controls. Vehicle and power access solutions include power sliding doors, tailgates and lift gate systems, as well as power deck lid systems. We also design and manufacture highly-engineered latches and door handles. Security and authorization products are comprised of mechanical and electronically enhanced locks and keys, fobs, passive entry passive start systems, steering column and instrument panel ignition lock housings and related solutions. We established our leading market position within North American automotive customers initially with our legacy mechanical locks and keys. We built upon that reputation with our engineering expertise in security and vehicle access, our flexible and responsive service and our deep relationships with our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Update</w:t>
      </w:r>
    </w:p>
    <w:p>
      <w:pPr>
        <w:spacing w:after="0" w:line="162" w:lineRule="exact"/>
        <w:rPr>
          <w:sz w:val="20"/>
          <w:szCs w:val="20"/>
          <w:color w:val="auto"/>
        </w:rPr>
      </w:pPr>
    </w:p>
    <w:p>
      <w:pPr>
        <w:ind w:right="140" w:firstLine="562"/>
        <w:spacing w:after="0" w:line="258" w:lineRule="auto"/>
        <w:rPr>
          <w:sz w:val="20"/>
          <w:szCs w:val="20"/>
          <w:color w:val="auto"/>
        </w:rPr>
      </w:pPr>
      <w:r>
        <w:rPr>
          <w:rFonts w:ascii="Times New Roman" w:cs="Times New Roman" w:eastAsia="Times New Roman" w:hAnsi="Times New Roman"/>
          <w:sz w:val="18"/>
          <w:szCs w:val="18"/>
          <w:color w:val="auto"/>
        </w:rPr>
        <w:t>In conjunction with a change in leadership in 2024, we are in the process of developing a strategy to strengthen the Company’s profitability and deliver sustainable sales growth. We expect to improve our business with upgraded systems and processes and a focus on productivity and efficiencies in our manufacturing operations. We are reviewing our product portfolio, focusing on improving our working capital management and modernizing our support functions. We believe this optimized cost structure will allow us to capitalize on our technical engineering expertise, market leading positions and strong customer relationships to generate innovative solutions and predictable sales growth with new and existing customers.</w:t>
      </w:r>
    </w:p>
    <w:p>
      <w:pPr>
        <w:spacing w:after="0" w:line="183"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Volatility in the North American automotive industry is driven by supply chain disruptions, global inflation, thinning labor availability, rising global commodity costs and a changing global trade and geopolitical climate. These macro conditions, coupled with changes in production volumes by OEMs in response to new vehicle consumer demand impact our sales and profitability levels. Based on recent third party industry projections, it is expected that North American light vehicle production will be flat over the next several years with fiscal 2026 OEM production levels forecasted to be down approximately 6-8%, with a recovery in fiscal 2027 and 2028. Lower near term North American light vehicle production estimates, which are subject to change, are a result of recent tariff uncertainties and related demand impacts. Despite short term market softening, we have delivered 5% year-to-date sales growth, the result of new program launches, pricing actions and increased volumes on the platforms we serve.</w:t>
      </w:r>
    </w:p>
    <w:p>
      <w:pPr>
        <w:spacing w:after="0" w:line="189"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The United States government has recently announced additional tariffs on goods imported into the U.S. from numerous countries, with certain exemptions such as USMCA-compliant imports. In response, multiple nations have countered with reciprocal tariffs and other actions. Like other automotive suppliers, we source raw materials and components from a global supply chain with final assembly for our products completed in our Mexico operations. We ship approximately 65% of our sales (majority of which are USMCA compliant) to customer production sites in the United States, with the balance shipped to other countries. We continue to monitor the dynamic global trade environment and are taking actions to mitigate the cost impact of additional tariffs and understand any associated changes in customer demand and production build schedules. Prior to any mitigation efforts, we estimate that the annual impact of the incremental tariffs is a $9-$12 million increase in our cost of goods sold. Mitigation actions include, but are not limited to, changes in our global supply chain, pass through of costs to customers and changes in our logistics processes. However, our inability to enact these, and other mitigation actions, may have a material adverse impact on sales, earnings and liquidity (refer to Part II, Item 1A. Risk Factors in this Form 10-Q).</w:t>
      </w:r>
    </w:p>
    <w:p>
      <w:pPr>
        <w:spacing w:after="0" w:line="188" w:lineRule="exact"/>
        <w:rPr>
          <w:sz w:val="20"/>
          <w:szCs w:val="20"/>
          <w:color w:val="auto"/>
        </w:rPr>
      </w:pPr>
    </w:p>
    <w:p>
      <w:pPr>
        <w:ind w:right="100" w:firstLine="569"/>
        <w:spacing w:after="0" w:line="253" w:lineRule="auto"/>
        <w:rPr>
          <w:sz w:val="20"/>
          <w:szCs w:val="20"/>
          <w:color w:val="auto"/>
        </w:rPr>
      </w:pPr>
      <w:r>
        <w:rPr>
          <w:rFonts w:ascii="Times New Roman" w:cs="Times New Roman" w:eastAsia="Times New Roman" w:hAnsi="Times New Roman"/>
          <w:sz w:val="18"/>
          <w:szCs w:val="18"/>
          <w:color w:val="auto"/>
        </w:rPr>
        <w:t>Given our operations in Mexico, our financial results are impacted by labor inflation, the result of government mandated minimum wages, and we have exposure to changes in foreign currency exchange rates. We strive to mitigate the impact of these cost increases through supply chain and manufacturing efficiencies, strategic pricing and peso forward contracts. During fiscal 2025 we have taken actions to improve our cost structure, including the elimination of a shift in our Milwaukee operations and a restructuring of our Mexico operations. The restructuring activities are expected to generate approximately $5 million of annual cost reductions.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ind w:right="180" w:firstLine="569"/>
        <w:spacing w:after="0" w:line="282" w:lineRule="auto"/>
        <w:rPr>
          <w:sz w:val="20"/>
          <w:szCs w:val="20"/>
          <w:color w:val="auto"/>
        </w:rPr>
      </w:pPr>
      <w:r>
        <w:rPr>
          <w:rFonts w:ascii="Times New Roman" w:cs="Times New Roman" w:eastAsia="Times New Roman" w:hAnsi="Times New Roman"/>
          <w:sz w:val="18"/>
          <w:szCs w:val="18"/>
          <w:color w:val="auto"/>
        </w:rPr>
        <w:t>During the balance of fiscal 2025, we are focused on mitigating the impact of the additional tariffs, executing new initiatives to improve our cost structure, driving cash flow through improved asset and working capital utilization and securing new platforms to solidify future sales growth.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30, 2025 (third quarter fiscal 2025) compared with the three months ended March 31, 2024 (third quarter fiscal 2024)</w:t>
      </w:r>
    </w:p>
    <w:p>
      <w:pPr>
        <w:spacing w:after="0" w:line="254" w:lineRule="exact"/>
        <w:rPr>
          <w:sz w:val="20"/>
          <w:szCs w:val="20"/>
          <w:color w:val="auto"/>
        </w:rPr>
      </w:pPr>
    </w:p>
    <w:p>
      <w:pPr>
        <w:ind w:right="80" w:firstLine="562"/>
        <w:spacing w:after="0" w:line="266" w:lineRule="auto"/>
        <w:rPr>
          <w:sz w:val="20"/>
          <w:szCs w:val="20"/>
          <w:color w:val="auto"/>
        </w:rPr>
      </w:pPr>
      <w:r>
        <w:rPr>
          <w:rFonts w:ascii="Times New Roman" w:cs="Times New Roman" w:eastAsia="Times New Roman" w:hAnsi="Times New Roman"/>
          <w:sz w:val="18"/>
          <w:szCs w:val="18"/>
          <w:color w:val="auto"/>
        </w:rPr>
        <w:t>Third quarter fiscal 2025 net sales were $144.1 million, an increase of $3.3 million (2.3%) compared to the prior year third quarter. Net sales increased due to $2.5 million of price increases, favorable mix of $2.2 million and net new program launches of $1.6 million, which more than offset $3.0 million in lower sales volumes on existing platforms. Net sales to our customers in the third quarter were as follows (in millions):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17"/>
        </w:trPr>
        <w:tc>
          <w:tcPr>
            <w:tcW w:w="3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0"/>
                <w:szCs w:val="10"/>
                <w:color w:val="auto"/>
              </w:rPr>
            </w:pPr>
          </w:p>
        </w:tc>
        <w:tc>
          <w:tcPr>
            <w:tcW w:w="780" w:type="dxa"/>
            <w:vAlign w:val="bottom"/>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r>
      <w:tr>
        <w:trPr>
          <w:trHeight w:val="173"/>
        </w:trPr>
        <w:tc>
          <w:tcPr>
            <w:tcW w:w="3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5"/>
                <w:szCs w:val="15"/>
                <w:color w:val="auto"/>
              </w:rPr>
            </w:pPr>
          </w:p>
        </w:tc>
        <w:tc>
          <w:tcPr>
            <w:tcW w:w="7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r>
      <w:tr>
        <w:trPr>
          <w:trHeight w:val="230"/>
        </w:trPr>
        <w:tc>
          <w:tcPr>
            <w:tcW w:w="37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3</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Meaningful drivers of the change in net sales for key customers are as follows:</w:t>
      </w:r>
    </w:p>
    <w:p>
      <w:pPr>
        <w:spacing w:after="0" w:line="27" w:lineRule="exact"/>
        <w:rPr>
          <w:sz w:val="20"/>
          <w:szCs w:val="20"/>
          <w:color w:val="auto"/>
        </w:rPr>
      </w:pPr>
    </w:p>
    <w:p>
      <w:pPr>
        <w:ind w:left="940" w:right="22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net sales decreased 4% due to reduced shipments across all product categories, partially offset by the launch of a door handle program for the Equinox platform.</w:t>
      </w:r>
    </w:p>
    <w:p>
      <w:pPr>
        <w:ind w:left="940" w:right="6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Ford Motor Company net sales grew 6% due to increased shipments and both increased content per platform and higher value content related to power tailgate and related latch products.</w:t>
      </w:r>
    </w:p>
    <w:p>
      <w:pPr>
        <w:ind w:left="940" w:hanging="506"/>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Stellantis net sales increased 14% primarily due to new key and lockset content on the Dodge Ram Heavy Duty truck platform.</w:t>
      </w:r>
    </w:p>
    <w:p>
      <w:pPr>
        <w:spacing w:after="0" w:line="9" w:lineRule="exact"/>
        <w:rPr>
          <w:rFonts w:ascii="Times New Roman" w:cs="Times New Roman" w:eastAsia="Times New Roman" w:hAnsi="Times New Roman"/>
          <w:sz w:val="18"/>
          <w:szCs w:val="18"/>
          <w:color w:val="auto"/>
        </w:rPr>
      </w:pPr>
    </w:p>
    <w:p>
      <w:pPr>
        <w:ind w:left="940" w:right="140" w:hanging="506"/>
        <w:spacing w:after="0" w:line="250"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 Motor Group net sales increased 5% due to higher demand and inventory destocking in the prior year for power access products on the Hyundai Staria platform.</w:t>
      </w:r>
    </w:p>
    <w:p>
      <w:pPr>
        <w:ind w:left="940" w:hanging="506"/>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customer sales decreased 6% due to reduced shipments of door handle products.</w:t>
      </w:r>
    </w:p>
    <w:p>
      <w:pPr>
        <w:spacing w:after="0" w:line="234" w:lineRule="exact"/>
        <w:rPr>
          <w:sz w:val="20"/>
          <w:szCs w:val="20"/>
          <w:color w:val="auto"/>
        </w:rPr>
      </w:pPr>
    </w:p>
    <w:p>
      <w:pPr>
        <w:ind w:right="400" w:firstLine="562"/>
        <w:spacing w:after="0" w:line="266" w:lineRule="auto"/>
        <w:rPr>
          <w:sz w:val="20"/>
          <w:szCs w:val="20"/>
          <w:color w:val="auto"/>
        </w:rPr>
      </w:pPr>
      <w:r>
        <w:rPr>
          <w:rFonts w:ascii="Times New Roman" w:cs="Times New Roman" w:eastAsia="Times New Roman" w:hAnsi="Times New Roman"/>
          <w:sz w:val="18"/>
          <w:szCs w:val="18"/>
          <w:color w:val="auto"/>
        </w:rPr>
        <w:t>Third quarter fiscal 2025 gross profit was $23.1 million, compared to $14.7 million in the comparable prior year period. Gross profit margin improved year-over-year from 10.4% to 16.0% as a result of the strengthening of the US dollar, pricing actions, favorable product mix and improved leverage of our fixed cost structure.</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4"/>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2"/>
                <w:szCs w:val="12"/>
                <w:color w:val="auto"/>
              </w:rPr>
            </w:pPr>
          </w:p>
        </w:tc>
      </w:tr>
      <w:tr>
        <w:trPr>
          <w:trHeight w:val="117"/>
        </w:trPr>
        <w:tc>
          <w:tcPr>
            <w:tcW w:w="3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80" w:type="dxa"/>
            <w:vAlign w:val="bottom"/>
          </w:tcPr>
          <w:p>
            <w:pPr>
              <w:spacing w:after="0"/>
              <w:rPr>
                <w:sz w:val="10"/>
                <w:szCs w:val="10"/>
                <w:color w:val="auto"/>
              </w:rPr>
            </w:pPr>
          </w:p>
        </w:tc>
      </w:tr>
      <w:tr>
        <w:trPr>
          <w:trHeight w:val="173"/>
        </w:trPr>
        <w:tc>
          <w:tcPr>
            <w:tcW w:w="3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5"/>
                <w:szCs w:val="15"/>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material costs</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30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Labor and overhead costs</w:t>
            </w: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Pr>
          <w:p>
            <w:pPr>
              <w:spacing w:after="0"/>
              <w:rPr>
                <w:sz w:val="18"/>
                <w:szCs w:val="18"/>
                <w:color w:val="auto"/>
              </w:rPr>
            </w:pPr>
          </w:p>
        </w:tc>
        <w:tc>
          <w:tcPr>
            <w:tcW w:w="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18"/>
                <w:szCs w:val="18"/>
                <w:color w:val="auto"/>
              </w:rPr>
            </w:pPr>
          </w:p>
        </w:tc>
        <w:tc>
          <w:tcPr>
            <w:tcW w:w="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r>
      <w:tr>
        <w:trPr>
          <w:trHeight w:val="250"/>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30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89.6%</w:t>
            </w:r>
          </w:p>
        </w:tc>
      </w:tr>
      <w:tr>
        <w:trPr>
          <w:trHeight w:val="197"/>
        </w:trPr>
        <w:tc>
          <w:tcPr>
            <w:tcW w:w="316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3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32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0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-325120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-307975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-325120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-307975</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-325120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-307975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-325120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-307975</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Material costs decreased $1.1 million year-over-year on lower production levels and favorable product mix. Labor and overhead costs decreased $4.0 million year-over-year reflecting a $4.4 million benefit from changes in foreign currency exchange rates and a $1.1 million net reduction in manufacturing labor costs from lower headcount and related fringe benefit costs. Favorable changes in foreign currency exchange rates and lower labor costs more than offset the $1.3 million impact of merit and government mandated minimum wages increases in our Mexico operations and the $0.8 million increase in tariffs resulting from recent changes in U.S. regulations.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7" w:name="page18"/>
    <w:bookmarkEnd w:id="17"/>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Engineering, selling and administrative expenses were $16.0 million in the third quarter of fiscal 2025, compared to $12.7 million in the prior year period. Increased expenses included $1.1 million of business transformation and restructuring costs, $1.2 million of incremental equity compensation and annual bonus expense and higher third party engineering spend of $0.4 million reflecting the timing of development projects.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relates to outstanding borrowings under our joint venture credit facility and was $0.2 million in the current and prior year quarter.</w:t>
      </w:r>
    </w:p>
    <w:p>
      <w:pPr>
        <w:spacing w:after="0" w:line="252" w:lineRule="exact"/>
        <w:rPr>
          <w:sz w:val="20"/>
          <w:szCs w:val="20"/>
          <w:color w:val="auto"/>
        </w:rPr>
      </w:pPr>
    </w:p>
    <w:p>
      <w:pPr>
        <w:ind w:right="300" w:firstLine="562"/>
        <w:spacing w:after="0" w:line="282" w:lineRule="auto"/>
        <w:rPr>
          <w:sz w:val="20"/>
          <w:szCs w:val="20"/>
          <w:color w:val="auto"/>
        </w:rPr>
      </w:pPr>
      <w:r>
        <w:rPr>
          <w:rFonts w:ascii="Times New Roman" w:cs="Times New Roman" w:eastAsia="Times New Roman" w:hAnsi="Times New Roman"/>
          <w:sz w:val="18"/>
          <w:szCs w:val="18"/>
          <w:color w:val="auto"/>
        </w:rPr>
        <w:t>Investment income increased to $0.5 million in the third quarter from $0.1 million in the prior year reflecting increased levels of cash and cash equivalents, which are invested in overnight money market funds.</w:t>
      </w:r>
    </w:p>
    <w:p>
      <w:pPr>
        <w:spacing w:after="0" w:line="18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Other expense, net was $0.02 million in the third quarter compared to $0.2 million in the prior year. The reduction was primarily due to changes in foreign currency exchange rates and gains or losses on peso forward contracts.</w:t>
      </w:r>
    </w:p>
    <w:p>
      <w:pPr>
        <w:spacing w:after="0" w:line="189"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22.4% and 32.7% for the third quarter of fiscal 2025 and 2024, respectively. The effective tax rate for the third quarter of fiscal 2024 was impacted by a shift in our global earnings mix. The effective tax rate for both periods exceeds the U.S. federal statutory rate primarily because of the foreign rate differential, state income taxes, limitations on the utilization of foreign tax credits, non-deductible items and discrete items.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March 30, 2025 compared with the nine months ended March 31, 2024</w:t>
      </w:r>
    </w:p>
    <w:p>
      <w:pPr>
        <w:spacing w:after="0" w:line="227" w:lineRule="exact"/>
        <w:rPr>
          <w:sz w:val="20"/>
          <w:szCs w:val="20"/>
          <w:color w:val="auto"/>
        </w:rPr>
      </w:pPr>
    </w:p>
    <w:p>
      <w:pPr>
        <w:ind w:right="40" w:firstLine="562"/>
        <w:spacing w:after="0" w:line="270" w:lineRule="auto"/>
        <w:rPr>
          <w:sz w:val="20"/>
          <w:szCs w:val="20"/>
          <w:color w:val="auto"/>
        </w:rPr>
      </w:pPr>
      <w:r>
        <w:rPr>
          <w:rFonts w:ascii="Times New Roman" w:cs="Times New Roman" w:eastAsia="Times New Roman" w:hAnsi="Times New Roman"/>
          <w:sz w:val="17"/>
          <w:szCs w:val="17"/>
          <w:color w:val="auto"/>
        </w:rPr>
        <w:t>Net sales in the nine months of fiscal 2025 were $413.1 million, an increase of $18.4 million, or 4.7% compared to the prior year period. Net sales growth was driven by $17.0 million of net new program launches as well as favorable mix. Additionally, higher production volumes on certain existing platforms and customer inventory builds increased sales by $3.0 million. Higher sales and $6.1 million of accretive pricing more than offset the benefit from the prior year period which had $9.9 million of one-time retroactive pricing recoveries. Net sales to our customers in the first nine months of fiscal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were as follows (in millions):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5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880" w:type="dxa"/>
            <w:vAlign w:val="bottom"/>
          </w:tcPr>
          <w:p>
            <w:pPr>
              <w:jc w:val="right"/>
              <w:ind w:right="2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r>
      <w:tr>
        <w:trPr>
          <w:trHeight w:val="173"/>
        </w:trPr>
        <w:tc>
          <w:tcPr>
            <w:tcW w:w="5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5"/>
                <w:szCs w:val="15"/>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Motors Company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Ford Motor Company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Stellantis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Hyundai Motor Group (including Kia)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Tier 1 Customers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 Other Customers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r>
      <w:tr>
        <w:trPr>
          <w:trHeight w:val="250"/>
        </w:trPr>
        <w:tc>
          <w:tcPr>
            <w:tcW w:w="54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8"/>
                <w:szCs w:val="18"/>
                <w:u w:val="single" w:color="auto"/>
                <w:color w:val="auto"/>
              </w:rPr>
              <w:t>4</w:t>
            </w: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Meaningful drivers of the change in net sales for key customers are as follows:</w:t>
      </w:r>
    </w:p>
    <w:p>
      <w:pPr>
        <w:spacing w:after="0" w:line="27" w:lineRule="exact"/>
        <w:rPr>
          <w:sz w:val="20"/>
          <w:szCs w:val="20"/>
          <w:color w:val="auto"/>
        </w:rPr>
      </w:pPr>
    </w:p>
    <w:p>
      <w:pPr>
        <w:ind w:left="940" w:right="26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Motors Company net sales increased 2% primarily due to overall volume increases for full size SUVs and pickups as well as new door handle volume for the Equinox EV, which were partially offset by several key and lockset programs ending.</w:t>
      </w:r>
    </w:p>
    <w:p>
      <w:pPr>
        <w:ind w:left="94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Ford Motor Company net sales grew 14% mostly due to increased volumes and new tailgate and power end gate content on the Ford F-Series and Super Duty trucks.</w:t>
      </w:r>
    </w:p>
    <w:p>
      <w:pPr>
        <w:ind w:left="940" w:right="280" w:hanging="506"/>
        <w:spacing w:after="0" w:line="25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Stellantis net sales declined 23% due to the combination of lower vehicle production volumes for several programs and the end of several passenger car programs, partially offset by new content on the Dodge Ram Heavy Duty truck platform.</w:t>
      </w:r>
    </w:p>
    <w:p>
      <w:pPr>
        <w:ind w:left="940" w:right="360" w:hanging="506"/>
        <w:spacing w:after="0" w:line="260" w:lineRule="auto"/>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Hyundai Motor Group net sales increased 29% due to higher demand for power sliding door products and an increase in OEM inventory levels.</w:t>
      </w:r>
    </w:p>
    <w:p>
      <w:pPr>
        <w:spacing w:after="0" w:line="208" w:lineRule="exact"/>
        <w:rPr>
          <w:sz w:val="20"/>
          <w:szCs w:val="20"/>
          <w:color w:val="auto"/>
        </w:rPr>
      </w:pPr>
    </w:p>
    <w:p>
      <w:pPr>
        <w:ind w:right="80" w:firstLine="562"/>
        <w:spacing w:after="0" w:line="266" w:lineRule="auto"/>
        <w:rPr>
          <w:sz w:val="20"/>
          <w:szCs w:val="20"/>
          <w:color w:val="auto"/>
        </w:rPr>
      </w:pPr>
      <w:r>
        <w:rPr>
          <w:rFonts w:ascii="Times New Roman" w:cs="Times New Roman" w:eastAsia="Times New Roman" w:hAnsi="Times New Roman"/>
          <w:sz w:val="18"/>
          <w:szCs w:val="18"/>
          <w:color w:val="auto"/>
        </w:rPr>
        <w:t>Gross profit was $59.2 million in the first nine months of fiscal 2025, compared to $46.9 million in the comparable prior year period. Despite favorable one-time pricing recoveries in the prior year, gross profit margin improved year-over-year from 11.9% to 14.3% as a result of the strengthening of the US dollar, pricing actions and improved leverage of our fixed cost structure on higher sales volumes.</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18" w:name="page19"/>
    <w:bookmarkEnd w:id="18"/>
    <w:tbl>
      <w:tblPr>
        <w:tblLayout w:type="fixed"/>
        <w:tblInd w:w="58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2"/>
                <w:szCs w:val="12"/>
                <w:color w:val="auto"/>
              </w:rPr>
            </w:pPr>
          </w:p>
        </w:tc>
      </w:tr>
      <w:tr>
        <w:trPr>
          <w:trHeight w:val="117"/>
        </w:trPr>
        <w:tc>
          <w:tcPr>
            <w:tcW w:w="34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Millions of</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80" w:type="dxa"/>
            <w:vAlign w:val="bottom"/>
          </w:tcPr>
          <w:p>
            <w:pPr>
              <w:spacing w:after="0"/>
              <w:rPr>
                <w:sz w:val="10"/>
                <w:szCs w:val="10"/>
                <w:color w:val="auto"/>
              </w:rPr>
            </w:pPr>
          </w:p>
        </w:tc>
      </w:tr>
      <w:tr>
        <w:trPr>
          <w:trHeight w:val="173"/>
        </w:trPr>
        <w:tc>
          <w:tcPr>
            <w:tcW w:w="3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Pr>
          <w:p>
            <w:pPr>
              <w:spacing w:after="0"/>
              <w:rPr>
                <w:sz w:val="15"/>
                <w:szCs w:val="15"/>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material costs</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48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6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Labor and overhead costs</w:t>
            </w:r>
          </w:p>
        </w:tc>
        <w:tc>
          <w:tcPr>
            <w:tcW w:w="1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0" w:type="dxa"/>
            <w:vAlign w:val="bottom"/>
          </w:tcPr>
          <w:p>
            <w:pPr>
              <w:spacing w:after="0"/>
              <w:rPr>
                <w:sz w:val="18"/>
                <w:szCs w:val="18"/>
                <w:color w:val="auto"/>
              </w:rPr>
            </w:pPr>
          </w:p>
        </w:tc>
        <w:tc>
          <w:tcPr>
            <w:tcW w:w="1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5"/>
              </w:rPr>
              <w:t>30.2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tcPr>
          <w:p>
            <w:pPr>
              <w:spacing w:after="0"/>
              <w:rPr>
                <w:sz w:val="18"/>
                <w:szCs w:val="18"/>
                <w:color w:val="auto"/>
              </w:rPr>
            </w:pPr>
          </w:p>
        </w:tc>
        <w:tc>
          <w:tcPr>
            <w:tcW w:w="10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5"/>
              </w:rPr>
              <w:t>32.3</w:t>
            </w:r>
          </w:p>
        </w:tc>
        <w:tc>
          <w:tcPr>
            <w:tcW w:w="180" w:type="dxa"/>
            <w:vAlign w:val="bottom"/>
          </w:tcPr>
          <w:p>
            <w:pPr>
              <w:spacing w:after="0"/>
              <w:rPr>
                <w:sz w:val="18"/>
                <w:szCs w:val="18"/>
                <w:color w:val="auto"/>
              </w:rPr>
            </w:pPr>
          </w:p>
        </w:tc>
      </w:tr>
      <w:tr>
        <w:trPr>
          <w:trHeight w:val="249"/>
        </w:trPr>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48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46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88.1%</w:t>
            </w:r>
          </w:p>
        </w:tc>
      </w:tr>
      <w:tr>
        <w:trPr>
          <w:trHeight w:val="197"/>
        </w:trPr>
        <w:tc>
          <w:tcPr>
            <w:tcW w:w="3440" w:type="dxa"/>
            <w:vAlign w:val="bottom"/>
            <w:tcBorders>
              <w:top w:val="single" w:sz="8" w:color="CFF0FC"/>
            </w:tcBorders>
          </w:tcPr>
          <w:p>
            <w:pPr>
              <w:spacing w:after="0"/>
              <w:rPr>
                <w:sz w:val="17"/>
                <w:szCs w:val="17"/>
                <w:color w:val="auto"/>
              </w:rPr>
            </w:pPr>
          </w:p>
        </w:tc>
        <w:tc>
          <w:tcPr>
            <w:tcW w:w="16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3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8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60" w:type="dxa"/>
            <w:vAlign w:val="bottom"/>
            <w:gridSpan w:val="3"/>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3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-325120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-307975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-325120</wp:posOffset>
            </wp:positionV>
            <wp:extent cx="1111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-307975</wp:posOffset>
            </wp:positionV>
            <wp:extent cx="1111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-325120</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-307975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-325120</wp:posOffset>
            </wp:positionV>
            <wp:extent cx="1117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-307975</wp:posOffset>
            </wp:positionV>
            <wp:extent cx="1117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-25400</wp:posOffset>
            </wp:positionV>
            <wp:extent cx="1111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59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-25400</wp:posOffset>
            </wp:positionV>
            <wp:extent cx="1117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-7620</wp:posOffset>
            </wp:positionV>
            <wp:extent cx="1117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Material costs increased $8.9 million year-over-year on higher production levels. Labor and overhead costs decreased $2.8 million year-over-year. Excluding the $10.6 million benefit from changes in foreign currency exchange rates, conversion costs increased $7.8 million due to higher sales volumes, a $3.1 million increase in Mexico labor costs, $1.2 million in increased tariff costs and increased provisions for annual bonus expense of $1.4 million, offset by a $1.8 million reduction in depreciation expense.</w:t>
      </w:r>
    </w:p>
    <w:p>
      <w:pPr>
        <w:spacing w:after="0" w:line="139" w:lineRule="exact"/>
        <w:rPr>
          <w:sz w:val="20"/>
          <w:szCs w:val="20"/>
          <w:color w:val="auto"/>
        </w:rPr>
      </w:pPr>
    </w:p>
    <w:p>
      <w:pPr>
        <w:ind w:right="120" w:firstLine="562"/>
        <w:spacing w:after="0" w:line="261" w:lineRule="auto"/>
        <w:rPr>
          <w:sz w:val="20"/>
          <w:szCs w:val="20"/>
          <w:color w:val="auto"/>
        </w:rPr>
      </w:pPr>
      <w:r>
        <w:rPr>
          <w:rFonts w:ascii="Times New Roman" w:cs="Times New Roman" w:eastAsia="Times New Roman" w:hAnsi="Times New Roman"/>
          <w:sz w:val="18"/>
          <w:szCs w:val="18"/>
          <w:color w:val="auto"/>
        </w:rPr>
        <w:t>Engineering, selling and administrative expenses were $44.9 million in the first nine months of fiscal 2025, compared to $38.8 million in the prior year period. Increased expenses include additional executive transition costs of $1.1 million, $0.6 million of incremental equity compensation expense, increased annual bonus provision of $2.3 million and $1.1 million of restructuring charges. These cost increases were partially offset by lower third party engineering spend of $0.6 million.</w:t>
      </w:r>
    </w:p>
    <w:p>
      <w:pPr>
        <w:spacing w:after="0" w:line="153" w:lineRule="exact"/>
        <w:rPr>
          <w:sz w:val="20"/>
          <w:szCs w:val="20"/>
          <w:color w:val="auto"/>
        </w:rPr>
      </w:pPr>
    </w:p>
    <w:p>
      <w:pPr>
        <w:ind w:right="180" w:firstLine="562"/>
        <w:spacing w:after="0" w:line="282" w:lineRule="auto"/>
        <w:rPr>
          <w:sz w:val="20"/>
          <w:szCs w:val="20"/>
          <w:color w:val="auto"/>
        </w:rPr>
      </w:pPr>
      <w:r>
        <w:rPr>
          <w:rFonts w:ascii="Times New Roman" w:cs="Times New Roman" w:eastAsia="Times New Roman" w:hAnsi="Times New Roman"/>
          <w:sz w:val="18"/>
          <w:szCs w:val="18"/>
          <w:color w:val="auto"/>
        </w:rPr>
        <w:t>Interest expense relates to outstanding borrowings under our joint venture credit facility and was $0.8 million and $0.7 million in the current year period and prior year period, respectively.</w:t>
      </w:r>
    </w:p>
    <w:p>
      <w:pPr>
        <w:spacing w:after="0" w:line="189" w:lineRule="exact"/>
        <w:rPr>
          <w:sz w:val="20"/>
          <w:szCs w:val="20"/>
          <w:color w:val="auto"/>
        </w:rPr>
      </w:pPr>
    </w:p>
    <w:p>
      <w:pPr>
        <w:ind w:right="80" w:firstLine="562"/>
        <w:spacing w:after="0" w:line="282" w:lineRule="auto"/>
        <w:rPr>
          <w:sz w:val="20"/>
          <w:szCs w:val="20"/>
          <w:color w:val="auto"/>
        </w:rPr>
      </w:pPr>
      <w:r>
        <w:rPr>
          <w:rFonts w:ascii="Times New Roman" w:cs="Times New Roman" w:eastAsia="Times New Roman" w:hAnsi="Times New Roman"/>
          <w:sz w:val="18"/>
          <w:szCs w:val="18"/>
          <w:color w:val="auto"/>
        </w:rPr>
        <w:t>Investment income increased to $1.3 million in the current year period from $0.3 million in the prior year period reflecting increased levels of cash and cash equivalents, which are invested in overnight money market funds.</w:t>
      </w:r>
    </w:p>
    <w:p>
      <w:pPr>
        <w:spacing w:after="0" w:line="189" w:lineRule="exact"/>
        <w:rPr>
          <w:sz w:val="20"/>
          <w:szCs w:val="20"/>
          <w:color w:val="auto"/>
        </w:rPr>
      </w:pPr>
    </w:p>
    <w:p>
      <w:pPr>
        <w:ind w:right="380" w:firstLine="562"/>
        <w:spacing w:after="0" w:line="282" w:lineRule="auto"/>
        <w:rPr>
          <w:sz w:val="20"/>
          <w:szCs w:val="20"/>
          <w:color w:val="auto"/>
        </w:rPr>
      </w:pPr>
      <w:r>
        <w:rPr>
          <w:rFonts w:ascii="Times New Roman" w:cs="Times New Roman" w:eastAsia="Times New Roman" w:hAnsi="Times New Roman"/>
          <w:sz w:val="18"/>
          <w:szCs w:val="18"/>
          <w:color w:val="auto"/>
        </w:rPr>
        <w:t>Other expense, net was $0.4 million in the current year period compared to other income, net of $0.8 million in the prior year. The change was primarily due to changes in foreign currency exchange rates and gains or losses on peso forward contracts.</w:t>
      </w:r>
    </w:p>
    <w:p>
      <w:pPr>
        <w:spacing w:after="0" w:line="189"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24.6% and 25.7% for the current year and prior year period, respectively. The effective tax rate for both periods exceeds the U.S. federal statutory rate primarily because of the foreign rate differential, state income taxes, limitations on the utilization of foreign tax credits, non-deductible items and discrete items.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firstLine="562"/>
        <w:spacing w:after="0" w:line="266" w:lineRule="auto"/>
        <w:rPr>
          <w:sz w:val="20"/>
          <w:szCs w:val="20"/>
          <w:color w:val="auto"/>
        </w:rPr>
      </w:pPr>
      <w:r>
        <w:rPr>
          <w:rFonts w:ascii="Times New Roman" w:cs="Times New Roman" w:eastAsia="Times New Roman" w:hAnsi="Times New Roman"/>
          <w:sz w:val="18"/>
          <w:szCs w:val="18"/>
          <w:color w:val="auto"/>
        </w:rPr>
        <w:t>At March 30, 2025, we had $62.1 million of cash and cash equivalents, of which $2.0 million was held by our foreign subsidiaries and $60.1 million was held domestically. Excess cash is held in money market funds. The following table summarizes our cash flows provided by (used in) operating, investing and financing activities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8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4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r>
      <w:tr>
        <w:trPr>
          <w:trHeight w:val="173"/>
        </w:trPr>
        <w:tc>
          <w:tcPr>
            <w:tcW w:w="4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41.5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36.7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firstLine="562"/>
        <w:spacing w:after="0" w:line="266" w:lineRule="auto"/>
        <w:rPr>
          <w:sz w:val="20"/>
          <w:szCs w:val="20"/>
          <w:color w:val="auto"/>
        </w:rPr>
      </w:pPr>
      <w:r>
        <w:rPr>
          <w:rFonts w:ascii="Times New Roman" w:cs="Times New Roman" w:eastAsia="Times New Roman" w:hAnsi="Times New Roman"/>
          <w:sz w:val="18"/>
          <w:szCs w:val="18"/>
          <w:color w:val="auto"/>
        </w:rPr>
        <w:t>Cash flow from operations was $41.5 million for the nine months of fiscal 2025, compared to a use of cash from operations in the prior year period. Fiscal 2025 year-to-date cash flow from operations is the result of cash earnings and a $17.5 million reduction in working capital, including reduced purchasing and inventory levels on higher sales, recovery of pre-production costs and extended payment terms with our suppliers.</w:t>
      </w:r>
    </w:p>
    <w:p>
      <w:pPr>
        <w:spacing w:after="0" w:line="176"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$4.2 million during the first nine months of fiscal 2025 compared to $4.1 million in the prior year period. Capital expenditures to support new customer programs upgrades to our IT hardware and network environment and replacement and automation of manufacturing equipment were $4.2 million in the current year period compared to $6.1 million in the prior year period. The prior year also included $2.0 million in proceeds received from the sale of our interest in a previous joint venture.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9" w:name="page20"/>
    <w:bookmarkEnd w:id="19"/>
    <w:p>
      <w:pPr>
        <w:ind w:right="160" w:firstLine="562"/>
        <w:spacing w:after="0" w:line="312" w:lineRule="auto"/>
        <w:rPr>
          <w:sz w:val="20"/>
          <w:szCs w:val="20"/>
          <w:color w:val="auto"/>
        </w:rPr>
      </w:pPr>
      <w:r>
        <w:rPr>
          <w:rFonts w:ascii="Times New Roman" w:cs="Times New Roman" w:eastAsia="Times New Roman" w:hAnsi="Times New Roman"/>
          <w:sz w:val="17"/>
          <w:szCs w:val="17"/>
          <w:color w:val="auto"/>
        </w:rPr>
        <w:t>Net cash provided by financing activities resulted from the sale of common stock under our employee stock purchase plan. In addition, during the first nine months of fiscal 2025, we borrowed and repaid amounts under the joint venture revolving credit agreement for short term cash requirements.</w:t>
      </w:r>
    </w:p>
    <w:p>
      <w:pPr>
        <w:spacing w:after="0" w:line="140" w:lineRule="exact"/>
        <w:rPr>
          <w:sz w:val="20"/>
          <w:szCs w:val="20"/>
          <w:color w:val="auto"/>
        </w:rPr>
      </w:pPr>
    </w:p>
    <w:p>
      <w:pPr>
        <w:ind w:firstLine="562"/>
        <w:spacing w:after="0" w:line="261" w:lineRule="auto"/>
        <w:rPr>
          <w:sz w:val="20"/>
          <w:szCs w:val="20"/>
          <w:color w:val="auto"/>
        </w:rPr>
      </w:pPr>
      <w:r>
        <w:rPr>
          <w:rFonts w:ascii="Times New Roman" w:cs="Times New Roman" w:eastAsia="Times New Roman" w:hAnsi="Times New Roman"/>
          <w:sz w:val="18"/>
          <w:szCs w:val="18"/>
          <w:color w:val="auto"/>
        </w:rPr>
        <w:t>At March 30, 2025, there were no borrowings outstanding under the $40.0 million STRATTEC revolving credit agreement and $13.0 million outstanding under the $20.0 million joint venture revolving credit agreement. The Company was in compliance with all covenants under its credit facilities at March 30, 2025. We believe that the revolving credit line, combined with our existing cash and anticipated operating cash flows will be adequate to meet operating, debt service and capital expenditure funding requirements for the foreseeable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Working Capital Management</w:t>
      </w:r>
    </w:p>
    <w:p>
      <w:pPr>
        <w:spacing w:after="0" w:line="162" w:lineRule="exact"/>
        <w:rPr>
          <w:sz w:val="20"/>
          <w:szCs w:val="20"/>
          <w:color w:val="auto"/>
        </w:rPr>
      </w:pPr>
    </w:p>
    <w:p>
      <w:pPr>
        <w:jc w:val="both"/>
        <w:ind w:right="280" w:firstLine="562"/>
        <w:spacing w:after="0" w:line="266" w:lineRule="auto"/>
        <w:rPr>
          <w:sz w:val="20"/>
          <w:szCs w:val="20"/>
          <w:color w:val="auto"/>
        </w:rPr>
      </w:pPr>
      <w:r>
        <w:rPr>
          <w:rFonts w:ascii="Times New Roman" w:cs="Times New Roman" w:eastAsia="Times New Roman" w:hAnsi="Times New Roman"/>
          <w:sz w:val="18"/>
          <w:szCs w:val="18"/>
          <w:color w:val="auto"/>
        </w:rPr>
        <w:t>We use primary working capital as a percentage of sales (PWC %) as a key metric of working capital management. We define this metric as the sum of net accounts receivable and net inventory less accounts payable, divided by the past three months sales annualized. The following table shows a comparison of primary working capital (dollars in millions):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0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PWC %</w:t>
            </w: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primary working capital</w:t>
            </w:r>
          </w:p>
        </w:tc>
        <w:tc>
          <w:tcPr>
            <w:tcW w:w="680" w:type="dxa"/>
            <w:vAlign w:val="bottom"/>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-170815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1460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-170815</wp:posOffset>
            </wp:positionV>
            <wp:extent cx="1460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right="40" w:firstLine="562"/>
        <w:spacing w:after="0" w:line="259" w:lineRule="auto"/>
        <w:rPr>
          <w:sz w:val="20"/>
          <w:szCs w:val="20"/>
          <w:color w:val="auto"/>
        </w:rPr>
      </w:pPr>
      <w:r>
        <w:rPr>
          <w:rFonts w:ascii="Times New Roman" w:cs="Times New Roman" w:eastAsia="Times New Roman" w:hAnsi="Times New Roman"/>
          <w:sz w:val="18"/>
          <w:szCs w:val="18"/>
          <w:color w:val="auto"/>
        </w:rPr>
        <w:t>Despite higher accounts receivable on increased sales, a $6.1 million reduction in inventory levels and a $16.7 million increase in accounts payable drove the improvement in PWC% to 19% at the end of the third quarter of fiscal 2025.</w:t>
      </w: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the Company’s reports filed or submitted under the Exchange Act, are recorded, processed, summarized and reported within the time periods specified in the Securities and Exchange Commission’s rules and forms, and that the information required to be disclosed by the Company in reports that it files or submits under the Exchange Act are accumulated and communicated to our management, including our Chief Executive Officer and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this evaluation, our Chief Executive Officer and Chief Financial Officer concluded that, as of the end of such period, our disclosure controls and procedures were effective at reaching a level of reasonable assurance. It should be noted that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We have designed our disclosure controls and procedures to reach a level of reasonable assurance of achieving the desired control objectives.</w:t>
      </w:r>
    </w:p>
    <w:p>
      <w:pPr>
        <w:spacing w:after="0" w:line="187"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our most recently completed fiscal quarter that has materially affected, or is reasonably likely to materially affect, our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1" w:name="page22"/>
    <w:bookmarkEnd w:id="21"/>
    <w:p>
      <w:pPr>
        <w:jc w:val="center"/>
        <w:ind w:right="20"/>
        <w:spacing w:after="0"/>
        <w:rPr>
          <w:sz w:val="20"/>
          <w:szCs w:val="20"/>
          <w:color w:val="auto"/>
        </w:rPr>
      </w:pPr>
      <w:r>
        <w:rPr>
          <w:rFonts w:ascii="Times New Roman" w:cs="Times New Roman" w:eastAsia="Times New Roman" w:hAnsi="Times New Roman"/>
          <w:sz w:val="18"/>
          <w:szCs w:val="18"/>
          <w:color w:val="auto"/>
        </w:rPr>
        <w:t>Part II</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firstLine="562"/>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We do not believe we are currently involved in any claim or action the ultimate disposition of which would have a material adverse effect on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risks. Before making an investment decision, you should carefully consider all of the information in this Quarterly Report, including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If any of the identified risks are realized, our business, financial condition and operating results could be materially and adversely affected. In that case, the trading price of our Common Stock may decline. In addition, other risks of which we are currently unaware, or which we currently do not view as material, could have a material adverse effect on our business, financial condition and operating results. As of the date of this Quarterly Report, we are providing the following update to the “Business Risks – Cross-border or Tariffs” risk factor contained in our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17" w:lineRule="exact"/>
        <w:rPr>
          <w:sz w:val="20"/>
          <w:szCs w:val="20"/>
          <w:color w:val="auto"/>
        </w:rPr>
      </w:pPr>
    </w:p>
    <w:p>
      <w:pPr>
        <w:ind w:firstLine="56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Cross-border Trade Issues or Tariffs </w:t>
      </w:r>
      <w:r>
        <w:rPr>
          <w:rFonts w:ascii="Times New Roman" w:cs="Times New Roman" w:eastAsia="Times New Roman" w:hAnsi="Times New Roman"/>
          <w:sz w:val="18"/>
          <w:szCs w:val="18"/>
          <w:color w:val="auto"/>
        </w:rPr>
        <w:t>– Our operations are impacted by international or cross-border trade dynamics, particularly the import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export of products and goods into and out of the United States and trade tensions among nations. The shipping of goods across national borders is often more expensive and complicated than domestic shipping. Customs and duty procedures and reviews, including duty-free thresholds in various key markets, the application of tariffs, and security-related governmental processes at international borders, may increase costs, discourage cross-border purchases, delay transit and create shipping uncertainties. The imposition of non-tariff barriers, including localized content rules and government procurement restrictions, may further limit our ability to operate efficiently across borders.</w:t>
      </w:r>
    </w:p>
    <w:p>
      <w:pPr>
        <w:spacing w:after="0" w:line="186" w:lineRule="exact"/>
        <w:rPr>
          <w:sz w:val="20"/>
          <w:szCs w:val="20"/>
          <w:color w:val="auto"/>
        </w:rPr>
      </w:pPr>
    </w:p>
    <w:p>
      <w:pPr>
        <w:ind w:right="240" w:firstLine="562"/>
        <w:spacing w:after="0" w:line="258" w:lineRule="auto"/>
        <w:rPr>
          <w:sz w:val="20"/>
          <w:szCs w:val="20"/>
          <w:color w:val="auto"/>
        </w:rPr>
      </w:pPr>
      <w:r>
        <w:rPr>
          <w:rFonts w:ascii="Times New Roman" w:cs="Times New Roman" w:eastAsia="Times New Roman" w:hAnsi="Times New Roman"/>
          <w:sz w:val="18"/>
          <w:szCs w:val="18"/>
          <w:color w:val="auto"/>
        </w:rPr>
        <w:t>We manufacture our products in Mexico and rely on a global supply chain to deliver raw materials and components that we need to manufacture our products. Our business benefits from certain free trade agreements, such as the United States-Mexico-Canada Agreement. However, recent shifts in trade policy have resulted in new or higher tariffs on goods imported from numerous countries, and some countries have imposed retaliatory tariffs on imports from the United States, which has created meaningful uncertainty. These changes may result in significantly increased production costs, pricing volatility and administrative complexity in determining country-of-origin compliance for automotive components.</w:t>
      </w:r>
    </w:p>
    <w:p>
      <w:pPr>
        <w:spacing w:after="0" w:line="183" w:lineRule="exact"/>
        <w:rPr>
          <w:sz w:val="20"/>
          <w:szCs w:val="20"/>
          <w:color w:val="auto"/>
        </w:rPr>
      </w:pPr>
    </w:p>
    <w:p>
      <w:pPr>
        <w:ind w:firstLine="562"/>
        <w:spacing w:after="0" w:line="255" w:lineRule="auto"/>
        <w:rPr>
          <w:sz w:val="20"/>
          <w:szCs w:val="20"/>
          <w:color w:val="auto"/>
        </w:rPr>
      </w:pPr>
      <w:r>
        <w:rPr>
          <w:rFonts w:ascii="Times New Roman" w:cs="Times New Roman" w:eastAsia="Times New Roman" w:hAnsi="Times New Roman"/>
          <w:sz w:val="18"/>
          <w:szCs w:val="18"/>
          <w:color w:val="auto"/>
        </w:rPr>
        <w:t>Changes in U.S. trade relations with foreign countries involved in our business, including but not limited to Mexico, Canada, China, and European countries, could have a material effect on global economic conditions and significantly decrease global trade, which could adversely impact our production costs, purchased material costs, ability to compete, customer demand, short-term vehicle production levels and relationships with suppliers and customers. Should universal tariffs be implemented as initially announced in April 2025, we anticipate a significant adverse impact on our future costs, which could reduce profitability on certain of our products and have a material adverse effect on our results of operations, financial condition and cash flows. The ultimate impact of changes to tariffs and trade barriers will depend on various factors, including the timing, amount, scope and nature of any tariffs and trade barriers that are implemented. Refer to Part I, Item 2. Management's Discussion and Analysis of Financial Condition and Results of Operations in this Form 10-Q for further discussion of the impact of these tariffs</w:t>
      </w:r>
      <w:r>
        <w:rPr>
          <w:rFonts w:ascii="Times New Roman" w:cs="Times New Roman" w:eastAsia="Times New Roman" w:hAnsi="Times New Roman"/>
          <w:sz w:val="21"/>
          <w:szCs w:val="21"/>
          <w:color w:val="auto"/>
        </w:rPr>
        <w:t>.</w:t>
      </w:r>
    </w:p>
    <w:p>
      <w:pPr>
        <w:spacing w:after="0" w:line="387" w:lineRule="exact"/>
        <w:rPr>
          <w:sz w:val="20"/>
          <w:szCs w:val="20"/>
          <w:color w:val="auto"/>
        </w:rPr>
      </w:pPr>
    </w:p>
    <w:p>
      <w:pPr>
        <w:ind w:right="30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b w:val="1"/>
          <w:bCs w:val="1"/>
          <w:i w:val="1"/>
          <w:iCs w:val="1"/>
          <w:color w:val="auto"/>
        </w:rPr>
        <w:t>Unregistered Sales of Equity Securities</w:t>
      </w:r>
    </w:p>
    <w:p>
      <w:pPr>
        <w:ind w:right="260" w:firstLine="749"/>
        <w:spacing w:after="0" w:line="259" w:lineRule="auto"/>
        <w:rPr>
          <w:sz w:val="20"/>
          <w:szCs w:val="20"/>
          <w:color w:val="auto"/>
        </w:rPr>
      </w:pPr>
      <w:r>
        <w:rPr>
          <w:rFonts w:ascii="Times New Roman" w:cs="Times New Roman" w:eastAsia="Times New Roman" w:hAnsi="Times New Roman"/>
          <w:sz w:val="18"/>
          <w:szCs w:val="18"/>
          <w:color w:val="auto"/>
        </w:rPr>
        <w:t>There were no equity securities of STRATTEC SECURITY CORPORATION sold by STRATTEC SECURITY CORPORATION during the nine months ended March 30, 2025 that were not registered under the Securities Act of 1933, as amended.</w:t>
      </w: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firstLine="562"/>
        <w:spacing w:after="0" w:line="256"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on October 16, 1996. The Board of Directors has periodically increased the number of shares authorized for repurchase under the program, most recently in August 2008. The program currently authorizes the repurchase of up to 3,839,395 shares of our common stock from time to time with consideration given to the market price of the common shares, the nature of other investment opportunities, cash flows from operations, general economic conditions and other relevant considerations, directly or through brokers or agents, and has no expiration date. Over the life of the repurchase program through March 30, 2025, a total of 3,655,322 shares have been repurchased at a cost of approximately $136.4 million. No shares were repurchased during the nine month period ended March 30, 2025.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Disclosures—None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  Trading Plans.</w:t>
      </w:r>
    </w:p>
    <w:p>
      <w:pPr>
        <w:spacing w:after="0" w:line="158"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30, 2025, no director or officer of the Company adopted or terminated a “Rule 10b5-1 trading arrangement” or “non-Rule 10b5-1 trading arrangement,” as each term is defined in Item 408(a) of Regulation 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Exhibits</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320" w:type="dxa"/>
            <w:vAlign w:val="bottom"/>
            <w:gridSpan w:val="11"/>
          </w:tcPr>
          <w:p>
            <w:pPr>
              <w:spacing w:after="0"/>
              <w:rPr>
                <w:rFonts w:ascii="Times New Roman" w:cs="Times New Roman" w:eastAsia="Times New Roman" w:hAnsi="Times New Roman"/>
                <w:sz w:val="16"/>
                <w:szCs w:val="16"/>
                <w:color w:val="0000FF"/>
              </w:rPr>
            </w:pPr>
            <w:hyperlink r:id="rId260">
              <w:r>
                <w:rPr>
                  <w:rFonts w:ascii="Times New Roman" w:cs="Times New Roman" w:eastAsia="Times New Roman" w:hAnsi="Times New Roman"/>
                  <w:sz w:val="16"/>
                  <w:szCs w:val="16"/>
                  <w:color w:val="0000FF"/>
                </w:rPr>
                <w:t>Amended and Restated Articles of Incorporation of the Company (Incorporated by reference from Exhibit 3.1 to the Form 10-K filed on September 7, 2017)</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10320" w:type="dxa"/>
            <w:vAlign w:val="bottom"/>
            <w:gridSpan w:val="11"/>
          </w:tcPr>
          <w:p>
            <w:pPr>
              <w:spacing w:after="0"/>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Amendment to Amended and Restated Articles of Incorporation of the Company (Incorporated by reference from Exhibit 3.1 to the Form 10-Q report filed 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0320" w:type="dxa"/>
            <w:vAlign w:val="bottom"/>
            <w:gridSpan w:val="11"/>
          </w:tcPr>
          <w:p>
            <w:pPr>
              <w:spacing w:after="0" w:line="183" w:lineRule="exact"/>
              <w:rPr>
                <w:rFonts w:ascii="Times New Roman" w:cs="Times New Roman" w:eastAsia="Times New Roman" w:hAnsi="Times New Roman"/>
                <w:sz w:val="16"/>
                <w:szCs w:val="16"/>
                <w:color w:val="0000FF"/>
              </w:rPr>
            </w:pPr>
            <w:hyperlink r:id="rId261">
              <w:r>
                <w:rPr>
                  <w:rFonts w:ascii="Times New Roman" w:cs="Times New Roman" w:eastAsia="Times New Roman" w:hAnsi="Times New Roman"/>
                  <w:sz w:val="16"/>
                  <w:szCs w:val="16"/>
                  <w:color w:val="0000FF"/>
                </w:rPr>
                <w:t>November 7, 2019)</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10320" w:type="dxa"/>
            <w:vAlign w:val="bottom"/>
            <w:gridSpan w:val="11"/>
          </w:tcPr>
          <w:p>
            <w:pPr>
              <w:spacing w:after="0"/>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Amendment to Amended and Restated Articles of Incorporation of the Company (Incorporated by reference from Exhibit 3.1 to the Form 8-K report filed 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0320" w:type="dxa"/>
            <w:vAlign w:val="bottom"/>
            <w:gridSpan w:val="11"/>
          </w:tcPr>
          <w:p>
            <w:pPr>
              <w:spacing w:after="0" w:line="183" w:lineRule="exact"/>
              <w:rPr>
                <w:rFonts w:ascii="Times New Roman" w:cs="Times New Roman" w:eastAsia="Times New Roman" w:hAnsi="Times New Roman"/>
                <w:sz w:val="16"/>
                <w:szCs w:val="16"/>
                <w:color w:val="0000FF"/>
              </w:rPr>
            </w:pPr>
            <w:hyperlink r:id="rId262">
              <w:r>
                <w:rPr>
                  <w:rFonts w:ascii="Times New Roman" w:cs="Times New Roman" w:eastAsia="Times New Roman" w:hAnsi="Times New Roman"/>
                  <w:sz w:val="16"/>
                  <w:szCs w:val="16"/>
                  <w:color w:val="0000FF"/>
                </w:rPr>
                <w:t>October 21,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10320" w:type="dxa"/>
            <w:vAlign w:val="bottom"/>
            <w:gridSpan w:val="11"/>
          </w:tcPr>
          <w:p>
            <w:pPr>
              <w:spacing w:after="0"/>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Amendment to Amended and Restated Articles of Incorporation of the Company (Incorporated by reference from Exhibit 3.1 to the Current Report on Form</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10320" w:type="dxa"/>
            <w:vAlign w:val="bottom"/>
            <w:gridSpan w:val="11"/>
          </w:tcPr>
          <w:p>
            <w:pPr>
              <w:spacing w:after="0" w:line="183" w:lineRule="exact"/>
              <w:rPr>
                <w:rFonts w:ascii="Times New Roman" w:cs="Times New Roman" w:eastAsia="Times New Roman" w:hAnsi="Times New Roman"/>
                <w:sz w:val="16"/>
                <w:szCs w:val="16"/>
                <w:color w:val="0000FF"/>
              </w:rPr>
            </w:pPr>
            <w:hyperlink r:id="rId263">
              <w:r>
                <w:rPr>
                  <w:rFonts w:ascii="Times New Roman" w:cs="Times New Roman" w:eastAsia="Times New Roman" w:hAnsi="Times New Roman"/>
                  <w:sz w:val="16"/>
                  <w:szCs w:val="16"/>
                  <w:color w:val="0000FF"/>
                </w:rPr>
                <w:t>8-K filed on October 23, 2024)</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10320" w:type="dxa"/>
            <w:vAlign w:val="bottom"/>
            <w:gridSpan w:val="11"/>
          </w:tcPr>
          <w:p>
            <w:pPr>
              <w:spacing w:after="0"/>
              <w:rPr>
                <w:rFonts w:ascii="Times New Roman" w:cs="Times New Roman" w:eastAsia="Times New Roman" w:hAnsi="Times New Roman"/>
                <w:sz w:val="16"/>
                <w:szCs w:val="16"/>
                <w:color w:val="0000FF"/>
              </w:rPr>
            </w:pPr>
            <w:hyperlink r:id="rId264">
              <w:r>
                <w:rPr>
                  <w:rFonts w:ascii="Times New Roman" w:cs="Times New Roman" w:eastAsia="Times New Roman" w:hAnsi="Times New Roman"/>
                  <w:sz w:val="16"/>
                  <w:szCs w:val="16"/>
                  <w:color w:val="0000FF"/>
                </w:rPr>
                <w:t>Amended By-Laws of the Company (Incorporated by reference from Exhibit 3.2 to the Current Report on Form 8-K filed on October 23, 2024)</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10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Rule 13a-14(a) Certification of Jennifer L. Slater, Chief Executive Officer</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Rule 13a-14(a) Certification of Matthew Pauli, Chief Financial Officer</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324" w:lineRule="exact"/>
              <w:rPr>
                <w:sz w:val="20"/>
                <w:szCs w:val="20"/>
                <w:color w:val="auto"/>
              </w:rPr>
            </w:pPr>
            <w:r>
              <w:rPr>
                <w:rFonts w:ascii="Times New Roman" w:cs="Times New Roman" w:eastAsia="Times New Roman" w:hAnsi="Times New Roman"/>
                <w:sz w:val="32"/>
                <w:szCs w:val="32"/>
                <w:color w:val="auto"/>
                <w:vertAlign w:val="subscript"/>
              </w:rPr>
              <w:t>32</w:t>
            </w:r>
            <w:r>
              <w:rPr>
                <w:rFonts w:ascii="Times New Roman" w:cs="Times New Roman" w:eastAsia="Times New Roman" w:hAnsi="Times New Roman"/>
                <w:sz w:val="11"/>
                <w:szCs w:val="11"/>
                <w:color w:val="auto"/>
              </w:rPr>
              <w:t xml:space="preserve"> (1)</w:t>
            </w:r>
          </w:p>
        </w:tc>
        <w:tc>
          <w:tcPr>
            <w:tcW w:w="20" w:type="dxa"/>
            <w:vAlign w:val="bottom"/>
            <w:shd w:val="clear" w:color="auto" w:fill="0000EE"/>
          </w:tcPr>
          <w:p>
            <w:pPr>
              <w:spacing w:after="0" w:line="20" w:lineRule="exact"/>
              <w:rPr>
                <w:sz w:val="1"/>
                <w:szCs w:val="1"/>
                <w:color w:val="auto"/>
              </w:rPr>
            </w:pPr>
          </w:p>
        </w:tc>
        <w:tc>
          <w:tcPr>
            <w:tcW w:w="2460" w:type="dxa"/>
            <w:vAlign w:val="bottom"/>
            <w:tcBorders>
              <w:right w:val="single" w:sz="8" w:color="0000FF"/>
            </w:tcBorders>
            <w:gridSpan w:val="4"/>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vMerge w:val="continue"/>
          </w:tcPr>
          <w:p>
            <w:pPr>
              <w:spacing w:after="0"/>
              <w:rPr>
                <w:sz w:val="24"/>
                <w:szCs w:val="24"/>
                <w:color w:val="auto"/>
              </w:rPr>
            </w:pPr>
          </w:p>
        </w:tc>
        <w:tc>
          <w:tcPr>
            <w:tcW w:w="10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18 U.S.C. Section 1350 Certifications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60" w:right="80" w:hanging="791"/>
        <w:spacing w:after="0" w:line="272"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STRATTEC SECURITY CORPORATION's Quarterly Report on Form 10-Q for the fiscal quarter ended March 30, 2025 formatted in XBRL (eXtensible Business Reporting Language) and furnished electronically herewith: (i) Condensed Consolidated Statements of Income and Comprehensive Income; (ii) Condensed Consolidated Balance Sheets; (iii) Condensed Consolidated Statements of Cash Flows; and (iv) Notes to Condensed Consolidated Financial Statements. XBRL Instance Document – the XBRL Instance Document does not appear in the Interactive Data File because its XBRL tags are embedded within the Inline XBRL document.</w:t>
      </w:r>
    </w:p>
    <w:p>
      <w:pPr>
        <w:spacing w:after="0" w:line="91" w:lineRule="exact"/>
        <w:rPr>
          <w:sz w:val="20"/>
          <w:szCs w:val="20"/>
          <w:color w:val="auto"/>
        </w:rPr>
      </w:pPr>
    </w:p>
    <w:p>
      <w:pPr>
        <w:ind w:left="860" w:right="260" w:hanging="791"/>
        <w:spacing w:after="0" w:line="298" w:lineRule="auto"/>
        <w:tabs>
          <w:tab w:leader="none" w:pos="86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March 30, 2025, formatted in Inline XBRL (included in Exhibit 101).</w:t>
      </w:r>
    </w:p>
    <w:p>
      <w:pPr>
        <w:spacing w:after="0" w:line="164"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258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2" w:lineRule="exact"/>
        <w:rPr>
          <w:sz w:val="20"/>
          <w:szCs w:val="20"/>
          <w:color w:val="auto"/>
        </w:rPr>
      </w:pPr>
    </w:p>
    <w:p>
      <w:pPr>
        <w:ind w:right="160" w:firstLine="8"/>
        <w:spacing w:after="0" w:line="226" w:lineRule="auto"/>
        <w:tabs>
          <w:tab w:leader="none" w:pos="324"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0" w:firstLine="5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STRATTEC SECURITY CORPORATION (Registrant)</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732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Matthew Pauli</w:t>
            </w:r>
          </w:p>
        </w:tc>
      </w:tr>
      <w:tr>
        <w:trPr>
          <w:trHeight w:val="191"/>
        </w:trPr>
        <w:tc>
          <w:tcPr>
            <w:tcW w:w="39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Matthew Pauli</w:t>
            </w:r>
          </w:p>
        </w:tc>
      </w:tr>
      <w:tr>
        <w:trPr>
          <w:trHeight w:val="216"/>
        </w:trPr>
        <w:tc>
          <w:tcPr>
            <w:tcW w:w="39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6"/>
        </w:trPr>
        <w:tc>
          <w:tcPr>
            <w:tcW w:w="39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234"/>
        </w:trPr>
        <w:tc>
          <w:tcPr>
            <w:tcW w:w="39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Jennifer L. Slater, certify that:</w:t>
      </w:r>
    </w:p>
    <w:p>
      <w:pPr>
        <w:spacing w:after="0" w:line="229"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ind w:left="1020" w:right="100" w:hanging="503"/>
        <w:spacing w:after="0" w:line="254"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1020" w:right="280" w:hanging="503"/>
        <w:spacing w:after="0" w:line="254"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1020" w:hanging="503"/>
        <w:spacing w:after="0" w:line="254"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1020" w:right="40" w:hanging="503"/>
        <w:spacing w:after="0" w:line="254"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left="520" w:right="280" w:hanging="512"/>
        <w:spacing w:after="0" w:line="254" w:lineRule="auto"/>
        <w:tabs>
          <w:tab w:leader="none" w:pos="5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1020" w:right="140" w:hanging="503"/>
        <w:spacing w:after="0" w:line="254"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9,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Jennifer L. Slater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5074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Jennifer L. Slater,</w:t>
      </w: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20"/>
          <w:szCs w:val="20"/>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Matthew Pauli, certify that:</w:t>
      </w:r>
    </w:p>
    <w:p>
      <w:pPr>
        <w:spacing w:after="0" w:line="22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STRATTEC SECURITY CORPORATION;</w:t>
      </w:r>
    </w:p>
    <w:p>
      <w:pPr>
        <w:spacing w:after="0" w:line="229" w:lineRule="exact"/>
        <w:rPr>
          <w:rFonts w:ascii="Times New Roman" w:cs="Times New Roman" w:eastAsia="Times New Roman" w:hAnsi="Times New Roman"/>
          <w:sz w:val="20"/>
          <w:szCs w:val="20"/>
          <w:color w:val="auto"/>
        </w:rPr>
      </w:pPr>
    </w:p>
    <w:p>
      <w:pPr>
        <w:ind w:right="40" w:firstLine="8"/>
        <w:spacing w:after="0" w:line="254" w:lineRule="auto"/>
        <w:tabs>
          <w:tab w:leader="none" w:pos="5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ind w:right="160" w:firstLine="8"/>
        <w:spacing w:after="0" w:line="295" w:lineRule="auto"/>
        <w:tabs>
          <w:tab w:leader="none" w:pos="5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9"/>
          <w:szCs w:val="19"/>
          <w:color w:val="auto"/>
        </w:rPr>
      </w:pPr>
    </w:p>
    <w:p>
      <w:pPr>
        <w:ind w:right="20" w:firstLine="8"/>
        <w:spacing w:after="0" w:line="254" w:lineRule="auto"/>
        <w:tabs>
          <w:tab w:leader="none" w:pos="5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5" w:lineRule="exact"/>
        <w:rPr>
          <w:rFonts w:ascii="Times New Roman" w:cs="Times New Roman" w:eastAsia="Times New Roman" w:hAnsi="Times New Roman"/>
          <w:sz w:val="20"/>
          <w:szCs w:val="20"/>
          <w:color w:val="auto"/>
        </w:rPr>
      </w:pPr>
    </w:p>
    <w:p>
      <w:pPr>
        <w:ind w:left="520" w:right="180" w:hanging="3"/>
        <w:spacing w:after="0" w:line="254" w:lineRule="auto"/>
        <w:tabs>
          <w:tab w:leader="none" w:pos="102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Times New Roman" w:cs="Times New Roman" w:eastAsia="Times New Roman" w:hAnsi="Times New Roman"/>
          <w:sz w:val="20"/>
          <w:szCs w:val="20"/>
          <w:color w:val="auto"/>
        </w:rPr>
      </w:pPr>
    </w:p>
    <w:p>
      <w:pPr>
        <w:ind w:left="520" w:right="200" w:hanging="3"/>
        <w:spacing w:after="0" w:line="254" w:lineRule="auto"/>
        <w:tabs>
          <w:tab w:leader="none" w:pos="102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ind w:left="520" w:right="380" w:hanging="3"/>
        <w:spacing w:after="0" w:line="254" w:lineRule="auto"/>
        <w:tabs>
          <w:tab w:leader="none" w:pos="102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ind w:left="520" w:right="40" w:hanging="3"/>
        <w:spacing w:after="0" w:line="254" w:lineRule="auto"/>
        <w:tabs>
          <w:tab w:leader="none" w:pos="102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Times New Roman" w:cs="Times New Roman" w:eastAsia="Times New Roman" w:hAnsi="Times New Roman"/>
          <w:sz w:val="20"/>
          <w:szCs w:val="20"/>
          <w:color w:val="auto"/>
        </w:rPr>
      </w:pPr>
    </w:p>
    <w:p>
      <w:pPr>
        <w:ind w:right="420" w:firstLine="8"/>
        <w:spacing w:after="0" w:line="254" w:lineRule="auto"/>
        <w:tabs>
          <w:tab w:leader="none" w:pos="50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Times New Roman" w:cs="Times New Roman" w:eastAsia="Times New Roman" w:hAnsi="Times New Roman"/>
          <w:sz w:val="20"/>
          <w:szCs w:val="20"/>
          <w:color w:val="auto"/>
        </w:rPr>
      </w:pPr>
    </w:p>
    <w:p>
      <w:pPr>
        <w:ind w:left="520" w:right="140" w:hanging="3"/>
        <w:spacing w:after="0" w:line="295" w:lineRule="auto"/>
        <w:tabs>
          <w:tab w:leader="none" w:pos="1029"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9"/>
          <w:szCs w:val="19"/>
          <w:color w:val="auto"/>
        </w:rPr>
      </w:pPr>
    </w:p>
    <w:p>
      <w:pPr>
        <w:ind w:left="520" w:right="180" w:hanging="3"/>
        <w:spacing w:after="0" w:line="269" w:lineRule="auto"/>
        <w:tabs>
          <w:tab w:leader="none" w:pos="102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9, 2025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Matthew Pauli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-24765</wp:posOffset>
            </wp:positionV>
            <wp:extent cx="12560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0"/>
          <w:szCs w:val="20"/>
          <w:color w:val="auto"/>
        </w:rPr>
        <w:t>Matthew Pauli,</w:t>
      </w:r>
    </w:p>
    <w:p>
      <w:pPr>
        <w:ind w:left="52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26" w:name="page27"/>
    <w:bookmarkEnd w:id="26"/>
    <w:p>
      <w:pPr>
        <w:ind w:left="8580"/>
        <w:spacing w:after="0"/>
        <w:rPr>
          <w:sz w:val="20"/>
          <w:szCs w:val="20"/>
          <w:color w:val="auto"/>
        </w:rPr>
      </w:pPr>
      <w:r>
        <w:rPr>
          <w:rFonts w:ascii="Times New Roman" w:cs="Times New Roman" w:eastAsia="Times New Roman" w:hAnsi="Times New Roman"/>
          <w:sz w:val="20"/>
          <w:szCs w:val="20"/>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of Periodic Financial Report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spacing w:after="0" w:line="200" w:lineRule="exact"/>
        <w:rPr>
          <w:sz w:val="20"/>
          <w:szCs w:val="20"/>
          <w:color w:val="auto"/>
        </w:rPr>
      </w:pPr>
    </w:p>
    <w:p>
      <w:pPr>
        <w:spacing w:after="0" w:line="2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Pursuant to 18 U.S.C. Section 1350, as adopted pursuant to Section 906 of the Sarbanes-Oxley Act of 2002, each of the undersigned officers of STRATTEC SECURITY CORPORATION (the "Company") certifies that the Quarterly Report on Form 10-Q of the Company for the quarter ended March 30, 2025 fully complies with the requirements of Section 13(a) of the Securities Exchange Act of 1934 and information contained in that Form 10-Q fairly presents, in all material respects, the financial condition and results of operations of the Company.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May 9, 2025</w:t>
            </w: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/s/ Jennifer L. Slater</w:t>
            </w:r>
          </w:p>
        </w:tc>
        <w:tc>
          <w:tcPr>
            <w:tcW w:w="300" w:type="dxa"/>
            <w:vAlign w:val="bottom"/>
          </w:tcPr>
          <w:p>
            <w:pPr>
              <w:spacing w:after="0"/>
              <w:rPr>
                <w:sz w:val="19"/>
                <w:szCs w:val="19"/>
                <w:color w:val="auto"/>
              </w:rPr>
            </w:pPr>
          </w:p>
        </w:tc>
      </w:tr>
      <w:tr>
        <w:trPr>
          <w:trHeight w:val="227"/>
        </w:trPr>
        <w:tc>
          <w:tcPr>
            <w:tcW w:w="5860" w:type="dxa"/>
            <w:vAlign w:val="bottom"/>
          </w:tcPr>
          <w:p>
            <w:pPr>
              <w:spacing w:after="0"/>
              <w:rPr>
                <w:sz w:val="19"/>
                <w:szCs w:val="19"/>
                <w:color w:val="auto"/>
              </w:rPr>
            </w:pPr>
          </w:p>
        </w:tc>
        <w:tc>
          <w:tcPr>
            <w:tcW w:w="190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Jennifer L. Slater,</w:t>
            </w: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615"/>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Dated: May 9, 2025</w:t>
            </w: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Matthew Pauli</w:t>
            </w:r>
          </w:p>
        </w:tc>
      </w:tr>
      <w:tr>
        <w:trPr>
          <w:trHeight w:val="227"/>
        </w:trPr>
        <w:tc>
          <w:tcPr>
            <w:tcW w:w="5860" w:type="dxa"/>
            <w:vAlign w:val="bottom"/>
          </w:tcPr>
          <w:p>
            <w:pPr>
              <w:spacing w:after="0"/>
              <w:rPr>
                <w:sz w:val="19"/>
                <w:szCs w:val="19"/>
                <w:color w:val="auto"/>
              </w:rPr>
            </w:pPr>
          </w:p>
        </w:tc>
        <w:tc>
          <w:tcPr>
            <w:tcW w:w="13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Matthew Pauli,</w:t>
            </w:r>
          </w:p>
        </w:tc>
        <w:tc>
          <w:tcPr>
            <w:tcW w:w="520" w:type="dxa"/>
            <w:vAlign w:val="bottom"/>
            <w:gridSpan w:val="2"/>
          </w:tcPr>
          <w:p>
            <w:pPr>
              <w:spacing w:after="0"/>
              <w:rPr>
                <w:sz w:val="19"/>
                <w:szCs w:val="19"/>
                <w:color w:val="auto"/>
              </w:rPr>
            </w:pPr>
          </w:p>
        </w:tc>
      </w:tr>
      <w:tr>
        <w:trPr>
          <w:trHeight w:val="258"/>
        </w:trPr>
        <w:tc>
          <w:tcPr>
            <w:tcW w:w="5860" w:type="dxa"/>
            <w:vAlign w:val="bottom"/>
          </w:tcPr>
          <w:p>
            <w:pPr>
              <w:spacing w:after="0"/>
              <w:rPr>
                <w:sz w:val="22"/>
                <w:szCs w:val="22"/>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30"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20"/>
          <w:szCs w:val="20"/>
          <w:color w:val="auto"/>
        </w:rPr>
        <w:t>This certification is made solely for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1268730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
      <w:numFmt w:val="bullet"/>
      <w:start w:val="1"/>
    </w:lvl>
    <w:lvl w:ilvl="1">
      <w:lvlJc w:val="left"/>
      <w:lvlText w:val="%2"/>
      <w:numFmt w:val="decimal"/>
      <w:start w:val="104"/>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60" Type="http://schemas.openxmlformats.org/officeDocument/2006/relationships/hyperlink" Target="https://www.sec.gov/Archives/edgar/data/933034/000095012317008407/strt-ex31_23.htm" TargetMode="External"/><Relationship Id="rId261" Type="http://schemas.openxmlformats.org/officeDocument/2006/relationships/hyperlink" Target="https://www.sec.gov/Archives/edgar/data/933034/000156459019041294/strt-ex31_96.htm" TargetMode="External"/><Relationship Id="rId262" Type="http://schemas.openxmlformats.org/officeDocument/2006/relationships/hyperlink" Target="https://www.sec.gov/Archives/edgar/data/933034/000114036121035097/brhc10029967_ex3-1.htm" TargetMode="External"/><Relationship Id="rId263" Type="http://schemas.openxmlformats.org/officeDocument/2006/relationships/hyperlink" Target="https://www.sec.gov/Archives/edgar/data/933034/000095017024116723/strt-ex3_ex-3-1-articles.htm" TargetMode="External"/><Relationship Id="rId264" Type="http://schemas.openxmlformats.org/officeDocument/2006/relationships/hyperlink" Target="https://www.sec.gov/Archives/edgar/data/933034/000095017024116723/strt-ex3_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2025-05-09T07:50:09Z</dcterms:created>
  <dcterms:modified xsi:type="dcterms:W3CDTF">2025-05-09T07:50:09Z</dcterms:modified>
</cp:coreProperties>
</file>